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8E7422" w:rsidRPr="008F50E3" w:rsidP="008E7422" w14:paraId="2574EA97" w14:textId="77777777">
      <w:pPr>
        <w:jc w:val="center"/>
        <w:rPr>
          <w:b/>
          <w:sz w:val="32"/>
          <w:szCs w:val="32"/>
        </w:rPr>
      </w:pPr>
      <w:bookmarkStart w:id="0" w:name="_Toc63323366"/>
      <w:bookmarkStart w:id="1" w:name="_Toc416173583"/>
      <w:bookmarkStart w:id="2" w:name="_Toc416173819"/>
      <w:r w:rsidRPr="008F50E3">
        <w:rPr>
          <w:b/>
          <w:sz w:val="32"/>
          <w:szCs w:val="32"/>
        </w:rPr>
        <w:t xml:space="preserve">Часто задаваемые вопросы по составлению формы </w:t>
      </w:r>
      <w:r w:rsidRPr="008F50E3">
        <w:rPr>
          <w:b/>
        </w:rPr>
        <w:t>№</w:t>
      </w:r>
      <w:r w:rsidR="00560CBD">
        <w:rPr>
          <w:b/>
        </w:rPr>
        <w:t xml:space="preserve"> </w:t>
      </w:r>
      <w:r w:rsidRPr="008F50E3">
        <w:rPr>
          <w:b/>
        </w:rPr>
        <w:t>1-ИЦБ</w:t>
      </w:r>
      <w:r w:rsidRPr="008F50E3">
        <w:rPr>
          <w:b/>
          <w:sz w:val="32"/>
          <w:szCs w:val="32"/>
        </w:rPr>
        <w:t xml:space="preserve"> </w:t>
      </w:r>
    </w:p>
    <w:p w:rsidR="008A1757" w:rsidRPr="008F50E3" w:rsidP="00E15B73" w14:paraId="115871FC" w14:textId="77777777">
      <w:pPr>
        <w:pStyle w:val="Heading1"/>
      </w:pPr>
      <w:r w:rsidRPr="008F50E3">
        <w:t>Где можно ознакомиться с порядком составления форм</w:t>
      </w:r>
      <w:r w:rsidRPr="008F50E3" w:rsidR="00D56920">
        <w:t>ы</w:t>
      </w:r>
      <w:r w:rsidRPr="008F50E3" w:rsidR="008639FB">
        <w:t xml:space="preserve"> №</w:t>
      </w:r>
      <w:r w:rsidR="00560CBD">
        <w:t xml:space="preserve"> </w:t>
      </w:r>
      <w:r w:rsidRPr="008F50E3" w:rsidR="008639FB">
        <w:t>1-ИЦБ</w:t>
      </w:r>
      <w:r w:rsidRPr="008F50E3">
        <w:t>?</w:t>
      </w:r>
      <w:bookmarkEnd w:id="0"/>
    </w:p>
    <w:p w:rsidR="008A1757" w:rsidRPr="008F50E3" w:rsidP="00257B61" w14:paraId="09197CD5" w14:textId="77777777">
      <w:pPr>
        <w:spacing w:line="360" w:lineRule="auto"/>
        <w:rPr>
          <w:szCs w:val="28"/>
        </w:rPr>
      </w:pPr>
      <w:r w:rsidRPr="008F50E3">
        <w:rPr>
          <w:szCs w:val="28"/>
        </w:rPr>
        <w:t>Порядок составления и предоставления первичн</w:t>
      </w:r>
      <w:r w:rsidRPr="008F50E3" w:rsidR="0097623F">
        <w:rPr>
          <w:szCs w:val="28"/>
        </w:rPr>
        <w:t>ых статистических данных (далее</w:t>
      </w:r>
      <w:r w:rsidR="00C4484D">
        <w:rPr>
          <w:szCs w:val="28"/>
        </w:rPr>
        <w:t xml:space="preserve"> </w:t>
      </w:r>
      <w:r w:rsidRPr="00C4484D" w:rsidR="00C4484D">
        <w:rPr>
          <w:szCs w:val="28"/>
        </w:rPr>
        <w:t xml:space="preserve">– </w:t>
      </w:r>
      <w:r w:rsidRPr="008F50E3" w:rsidR="008639FB">
        <w:rPr>
          <w:szCs w:val="28"/>
        </w:rPr>
        <w:t>Порядок составления формы №</w:t>
      </w:r>
      <w:r w:rsidR="00560CBD">
        <w:rPr>
          <w:szCs w:val="28"/>
        </w:rPr>
        <w:t xml:space="preserve"> </w:t>
      </w:r>
      <w:r w:rsidRPr="008F50E3" w:rsidR="008639FB">
        <w:rPr>
          <w:szCs w:val="28"/>
        </w:rPr>
        <w:t>1-ИЦБ</w:t>
      </w:r>
      <w:r w:rsidRPr="008F50E3">
        <w:rPr>
          <w:szCs w:val="28"/>
        </w:rPr>
        <w:t xml:space="preserve">) по форме федерального </w:t>
      </w:r>
      <w:r w:rsidRPr="008F50E3" w:rsidR="00726603">
        <w:rPr>
          <w:szCs w:val="28"/>
        </w:rPr>
        <w:t>статистического</w:t>
      </w:r>
      <w:r w:rsidRPr="008F50E3" w:rsidR="008639FB">
        <w:rPr>
          <w:szCs w:val="28"/>
        </w:rPr>
        <w:t xml:space="preserve"> наблюдения №</w:t>
      </w:r>
      <w:r w:rsidR="00560CBD">
        <w:rPr>
          <w:szCs w:val="28"/>
        </w:rPr>
        <w:t xml:space="preserve"> </w:t>
      </w:r>
      <w:r w:rsidRPr="008F50E3" w:rsidR="008639FB">
        <w:rPr>
          <w:szCs w:val="28"/>
        </w:rPr>
        <w:t>1-ИЦБ</w:t>
      </w:r>
      <w:r w:rsidRPr="008F50E3">
        <w:rPr>
          <w:szCs w:val="28"/>
        </w:rPr>
        <w:t xml:space="preserve"> «</w:t>
      </w:r>
      <w:r w:rsidRPr="008F50E3" w:rsidR="008639FB">
        <w:rPr>
          <w:szCs w:val="28"/>
        </w:rPr>
        <w:t>Портфельные инвестиции в иностранные ценные бумаги</w:t>
      </w:r>
      <w:r w:rsidRPr="008F50E3">
        <w:rPr>
          <w:szCs w:val="28"/>
        </w:rPr>
        <w:t>» (далее</w:t>
      </w:r>
      <w:r w:rsidR="00C4484D">
        <w:rPr>
          <w:szCs w:val="28"/>
        </w:rPr>
        <w:t xml:space="preserve"> </w:t>
      </w:r>
      <w:r w:rsidRPr="00C4484D" w:rsidR="00C4484D">
        <w:rPr>
          <w:szCs w:val="28"/>
        </w:rPr>
        <w:t>–</w:t>
      </w:r>
      <w:r w:rsidRPr="008F50E3" w:rsidR="00A95C83">
        <w:rPr>
          <w:szCs w:val="28"/>
        </w:rPr>
        <w:t xml:space="preserve"> </w:t>
      </w:r>
      <w:r w:rsidRPr="008F50E3">
        <w:rPr>
          <w:szCs w:val="28"/>
        </w:rPr>
        <w:t>форма №</w:t>
      </w:r>
      <w:r w:rsidR="00560CBD">
        <w:rPr>
          <w:szCs w:val="28"/>
        </w:rPr>
        <w:t xml:space="preserve"> </w:t>
      </w:r>
      <w:r w:rsidRPr="008F50E3">
        <w:rPr>
          <w:szCs w:val="28"/>
        </w:rPr>
        <w:t>1-</w:t>
      </w:r>
      <w:r w:rsidRPr="008F50E3" w:rsidR="008639FB">
        <w:rPr>
          <w:szCs w:val="28"/>
        </w:rPr>
        <w:t>ИЦБ</w:t>
      </w:r>
      <w:r w:rsidRPr="008F50E3">
        <w:rPr>
          <w:szCs w:val="28"/>
        </w:rPr>
        <w:t>) утверж</w:t>
      </w:r>
      <w:r w:rsidRPr="008F50E3" w:rsidR="001A6CC7">
        <w:rPr>
          <w:szCs w:val="28"/>
        </w:rPr>
        <w:t xml:space="preserve">ден </w:t>
      </w:r>
      <w:hyperlink r:id="rId7" w:history="1">
        <w:r w:rsidRPr="008F50E3" w:rsidR="00851298">
          <w:rPr>
            <w:rStyle w:val="Hyperlink"/>
          </w:rPr>
          <w:t xml:space="preserve">Указанием </w:t>
        </w:r>
        <w:r w:rsidRPr="008F50E3" w:rsidR="00851298">
          <w:rPr>
            <w:rStyle w:val="Hyperlink"/>
            <w:szCs w:val="28"/>
          </w:rPr>
          <w:t>Банка России от 16.02.2023 № 6363-У</w:t>
        </w:r>
      </w:hyperlink>
      <w:r>
        <w:rPr>
          <w:rStyle w:val="FootnoteReference"/>
          <w:color w:val="0000FF"/>
          <w:szCs w:val="28"/>
          <w:u w:val="single"/>
        </w:rPr>
        <w:footnoteReference w:id="2"/>
      </w:r>
      <w:r w:rsidRPr="008F50E3">
        <w:rPr>
          <w:szCs w:val="28"/>
        </w:rPr>
        <w:t>.</w:t>
      </w:r>
    </w:p>
    <w:p w:rsidR="00F56075" w:rsidP="00F56075" w14:paraId="31D6B845" w14:textId="77777777">
      <w:pPr>
        <w:pStyle w:val="Heading1"/>
      </w:pPr>
      <w:r w:rsidRPr="008F50E3">
        <w:t>Какие инвестиции относятся к портфельным?</w:t>
      </w:r>
    </w:p>
    <w:p w:rsidR="00566FE7" w:rsidRPr="00566FE7" w:rsidP="00566FE7" w14:paraId="50C2C5C8" w14:textId="2B90B092">
      <w:pPr>
        <w:spacing w:line="360" w:lineRule="auto"/>
      </w:pPr>
      <w:r w:rsidRPr="00566FE7">
        <w:t>Портфельные инвестиции — инвестиции в обращающиеся иностранные ценные бумаги, кроме случаев, когда эмитентом указанных ценных бумаг является связанный (аффилированный) с инвестором нерезидент (аффилированность обычно подразумевает контроль либо владение 10 и более процентами уставного капитала организации).</w:t>
      </w:r>
    </w:p>
    <w:p w:rsidR="00EF4BC4" w:rsidRPr="008F50E3" w:rsidP="00E15B73" w14:paraId="4F256C40" w14:textId="77777777">
      <w:pPr>
        <w:pStyle w:val="Heading1"/>
      </w:pPr>
      <w:r w:rsidRPr="008F50E3">
        <w:t>Какие финансовые инструменты не отражаются в отч</w:t>
      </w:r>
      <w:r w:rsidRPr="008F50E3" w:rsidR="00933A53">
        <w:t>e</w:t>
      </w:r>
      <w:r w:rsidRPr="008F50E3">
        <w:t>те?</w:t>
      </w:r>
    </w:p>
    <w:p w:rsidR="00EF4BC4" w:rsidRPr="008F50E3" w:rsidP="00257B61" w14:paraId="69B6BE2C" w14:textId="77777777">
      <w:pPr>
        <w:spacing w:line="360" w:lineRule="auto"/>
        <w:rPr>
          <w:szCs w:val="28"/>
        </w:rPr>
      </w:pPr>
      <w:r w:rsidRPr="008F50E3">
        <w:rPr>
          <w:szCs w:val="28"/>
        </w:rPr>
        <w:t>В отч</w:t>
      </w:r>
      <w:r w:rsidRPr="008F50E3" w:rsidR="00933A53">
        <w:rPr>
          <w:szCs w:val="28"/>
        </w:rPr>
        <w:t>e</w:t>
      </w:r>
      <w:r w:rsidRPr="008F50E3">
        <w:rPr>
          <w:szCs w:val="28"/>
        </w:rPr>
        <w:t>те не отражаются производные финансовые инструменты</w:t>
      </w:r>
      <w:r w:rsidRPr="008F50E3" w:rsidR="00E15B73">
        <w:rPr>
          <w:szCs w:val="28"/>
        </w:rPr>
        <w:t xml:space="preserve">, депозитарные расписки на ценные бумаги резидентов, ценные бумаги организаций, зарегистрированных в соответствии с </w:t>
      </w:r>
      <w:bookmarkStart w:id="3" w:name="_GoBack"/>
      <w:bookmarkEnd w:id="3"/>
      <w:r w:rsidRPr="008F50E3" w:rsidR="00E15B73">
        <w:rPr>
          <w:szCs w:val="28"/>
        </w:rPr>
        <w:t>Федеральным законом «О международных компаниях и международных фондах»</w:t>
      </w:r>
      <w:r w:rsidRPr="008F50E3">
        <w:rPr>
          <w:szCs w:val="28"/>
        </w:rPr>
        <w:t xml:space="preserve"> и ценные бумаги, полученные в рамках первой части договора РЕПО и договора займа ценных бумаг.</w:t>
      </w:r>
    </w:p>
    <w:p w:rsidR="008A1757" w:rsidRPr="008F50E3" w:rsidP="00E15B73" w14:paraId="22AA7F8B" w14:textId="77777777">
      <w:pPr>
        <w:pStyle w:val="Heading1"/>
      </w:pPr>
      <w:bookmarkStart w:id="4" w:name="_Toc63323367"/>
      <w:r w:rsidRPr="008F50E3">
        <w:t xml:space="preserve">В каких единицах заполняются </w:t>
      </w:r>
      <w:r w:rsidRPr="008F50E3" w:rsidR="00392B10">
        <w:t xml:space="preserve">стоимостные показатели формы </w:t>
      </w:r>
      <w:r w:rsidRPr="008F50E3" w:rsidR="00F5229B">
        <w:t>№</w:t>
      </w:r>
      <w:r w:rsidR="00560CBD">
        <w:t xml:space="preserve"> </w:t>
      </w:r>
      <w:r w:rsidRPr="008F50E3" w:rsidR="00F5229B">
        <w:t>1-ИЦБ</w:t>
      </w:r>
      <w:r w:rsidRPr="008F50E3">
        <w:t>?</w:t>
      </w:r>
      <w:bookmarkEnd w:id="4"/>
    </w:p>
    <w:p w:rsidR="000C3FD9" w:rsidRPr="008F50E3" w:rsidP="00C55383" w14:paraId="01EBBE02" w14:textId="77777777">
      <w:pPr>
        <w:tabs>
          <w:tab w:val="left" w:pos="5387"/>
        </w:tabs>
        <w:spacing w:line="360" w:lineRule="auto"/>
        <w:rPr>
          <w:szCs w:val="28"/>
        </w:rPr>
      </w:pPr>
      <w:r w:rsidRPr="008F50E3">
        <w:rPr>
          <w:szCs w:val="28"/>
        </w:rPr>
        <w:t xml:space="preserve">Все стоимостные показатели формы заполняются в </w:t>
      </w:r>
      <w:r w:rsidRPr="008F50E3" w:rsidR="00B132BE">
        <w:rPr>
          <w:szCs w:val="28"/>
        </w:rPr>
        <w:t>валюте номинала ценной бумаги</w:t>
      </w:r>
      <w:r w:rsidRPr="008F50E3">
        <w:rPr>
          <w:szCs w:val="28"/>
        </w:rPr>
        <w:t>.</w:t>
      </w:r>
      <w:r w:rsidRPr="008F50E3" w:rsidR="003B5F4F">
        <w:rPr>
          <w:szCs w:val="28"/>
        </w:rPr>
        <w:t xml:space="preserve"> </w:t>
      </w:r>
      <w:r w:rsidRPr="008F50E3">
        <w:rPr>
          <w:szCs w:val="28"/>
        </w:rPr>
        <w:t>В отношении ценных бумаг, обеспечивающих участие в капитале (кроме депозитарных расписок и паев (акций) инвестиционных фондов), у которых согласно проспекту ценных бумаг отсутствует номинальная стоимость, рыночная стоимость пакета ценных бумаг по состоянию на отчетную дату отражается в единицах валюты, используемой в основной экономической среде (понятие применяется в значении, установленном пунктом 9 Международного стандарта финансовой отчетности (IAS) 21 «Влияние изменений валютных курсов», в которой эмитент-нерезидент осуществляет свою деятельность (функциональная валюта), по данным финансовой отчетности эмитента. В случае отсутствия такой информации рыночная стоимость пакета ценных бумаг по состоянию на отчетную дату отражается в единицах валюты страны места нахождения эмитента ценных бумаг. Указанный подход применяется в том числе для депозитарных расписок в отношении представляемых ценных бумаг, у которых согласно проспекту ценных бумаг отсутствует номинальная стоимость.</w:t>
      </w:r>
    </w:p>
    <w:p w:rsidR="008A1757" w:rsidRPr="008F50E3" w:rsidP="00C55383" w14:paraId="4BE50348" w14:textId="77777777">
      <w:pPr>
        <w:tabs>
          <w:tab w:val="left" w:pos="5387"/>
        </w:tabs>
        <w:spacing w:line="360" w:lineRule="auto"/>
        <w:rPr>
          <w:szCs w:val="28"/>
        </w:rPr>
      </w:pPr>
      <w:r w:rsidRPr="008F50E3">
        <w:rPr>
          <w:szCs w:val="28"/>
        </w:rPr>
        <w:t>Для ценных бумаг иностранных инвестиционных фондов стоимостные показатели указываются в валюте выпуска</w:t>
      </w:r>
      <w:r w:rsidRPr="008F50E3" w:rsidR="000C36D6">
        <w:rPr>
          <w:szCs w:val="28"/>
        </w:rPr>
        <w:t>. Для депозитарных расписок стоимостные показатели указываются в валюте номинала базисного актива. В случае отсутствия такой информации данные показатели заполняются в валюте страны места нахождения эмитента-нерезидента ценных бумаг, являющихся базисным активом для депозитарных расписок.</w:t>
      </w:r>
    </w:p>
    <w:p w:rsidR="00F56075" w:rsidRPr="008F50E3" w:rsidP="00F56075" w14:paraId="2BBBAF9C" w14:textId="77777777">
      <w:pPr>
        <w:pStyle w:val="Heading1"/>
      </w:pPr>
      <w:r w:rsidRPr="008F50E3">
        <w:t>Как оценивается стоимость погашенных, но не снятых с депозитарного уч</w:t>
      </w:r>
      <w:r w:rsidRPr="008F50E3" w:rsidR="00933A53">
        <w:t>e</w:t>
      </w:r>
      <w:r w:rsidRPr="008F50E3">
        <w:t>та долговых ценных бумаг?</w:t>
      </w:r>
    </w:p>
    <w:p w:rsidR="00F56075" w:rsidRPr="008F50E3" w:rsidP="00F56075" w14:paraId="5A4CC4F8" w14:textId="77777777">
      <w:pPr>
        <w:spacing w:line="360" w:lineRule="auto"/>
      </w:pPr>
      <w:r w:rsidRPr="008F50E3">
        <w:t>В случае наличия факта</w:t>
      </w:r>
      <w:r w:rsidRPr="008F50E3">
        <w:t xml:space="preserve"> погашения</w:t>
      </w:r>
      <w:r w:rsidRPr="008F50E3">
        <w:t xml:space="preserve"> или аннулирования</w:t>
      </w:r>
      <w:r w:rsidRPr="008F50E3">
        <w:t xml:space="preserve"> номинальная и рыночная стоимости</w:t>
      </w:r>
      <w:r w:rsidRPr="008F50E3" w:rsidR="000D2F7D">
        <w:t xml:space="preserve"> долговых ценных бумаг принимаются равными</w:t>
      </w:r>
      <w:r w:rsidRPr="008F50E3">
        <w:t xml:space="preserve"> нулю.</w:t>
      </w:r>
    </w:p>
    <w:p w:rsidR="00294246" w:rsidRPr="008F50E3" w:rsidP="00294246" w14:paraId="4E2D3B01" w14:textId="77777777">
      <w:pPr>
        <w:pStyle w:val="Heading1"/>
      </w:pPr>
      <w:bookmarkStart w:id="5" w:name="_Toc416173585"/>
      <w:bookmarkStart w:id="6" w:name="_Toc416173821"/>
      <w:bookmarkStart w:id="7" w:name="_Toc63323369"/>
      <w:bookmarkEnd w:id="1"/>
      <w:bookmarkEnd w:id="2"/>
      <w:r w:rsidRPr="008F50E3">
        <w:t xml:space="preserve">Как отчитываться </w:t>
      </w:r>
      <w:r w:rsidRPr="008F50E3" w:rsidR="00B218A1">
        <w:t>организации, не имеющей</w:t>
      </w:r>
      <w:r w:rsidRPr="008F50E3" w:rsidR="00757B0B">
        <w:t xml:space="preserve"> портфельных инвестиций</w:t>
      </w:r>
      <w:r w:rsidRPr="008F50E3">
        <w:t>?</w:t>
      </w:r>
    </w:p>
    <w:p w:rsidR="008A1757" w:rsidRPr="008F50E3" w:rsidP="00ED6169" w14:paraId="383D7832" w14:textId="77777777">
      <w:pPr>
        <w:pStyle w:val="Heading1"/>
        <w:numPr>
          <w:ilvl w:val="0"/>
          <w:numId w:val="0"/>
        </w:numPr>
        <w:spacing w:line="360" w:lineRule="auto"/>
        <w:ind w:left="431"/>
        <w:rPr>
          <w:b w:val="0"/>
        </w:rPr>
      </w:pPr>
      <w:r w:rsidRPr="008F50E3">
        <w:rPr>
          <w:b w:val="0"/>
        </w:rPr>
        <w:t xml:space="preserve">В таком случае </w:t>
      </w:r>
      <w:r w:rsidR="00736C29">
        <w:rPr>
          <w:b w:val="0"/>
        </w:rPr>
        <w:t>представляется</w:t>
      </w:r>
      <w:r w:rsidRPr="008F50E3">
        <w:rPr>
          <w:b w:val="0"/>
        </w:rPr>
        <w:t xml:space="preserve"> </w:t>
      </w:r>
      <w:r w:rsidR="00736C29">
        <w:rPr>
          <w:b w:val="0"/>
        </w:rPr>
        <w:t>«</w:t>
      </w:r>
      <w:r w:rsidRPr="008F50E3">
        <w:rPr>
          <w:b w:val="0"/>
        </w:rPr>
        <w:t>нулевой</w:t>
      </w:r>
      <w:r w:rsidR="00736C29">
        <w:rPr>
          <w:b w:val="0"/>
        </w:rPr>
        <w:t>»</w:t>
      </w:r>
      <w:r w:rsidRPr="008F50E3">
        <w:rPr>
          <w:b w:val="0"/>
        </w:rPr>
        <w:t xml:space="preserve"> отчет (отчет, </w:t>
      </w:r>
      <w:r w:rsidRPr="008F50E3" w:rsidR="00440643">
        <w:rPr>
          <w:b w:val="0"/>
        </w:rPr>
        <w:t>в котором</w:t>
      </w:r>
      <w:r w:rsidRPr="008F50E3">
        <w:rPr>
          <w:b w:val="0"/>
        </w:rPr>
        <w:t xml:space="preserve"> заполнен только титульный лист).</w:t>
      </w:r>
      <w:r w:rsidRPr="008F50E3" w:rsidR="00217996">
        <w:rPr>
          <w:b w:val="0"/>
        </w:rPr>
        <w:t xml:space="preserve"> </w:t>
      </w:r>
      <w:bookmarkEnd w:id="5"/>
      <w:bookmarkEnd w:id="6"/>
      <w:bookmarkEnd w:id="7"/>
    </w:p>
    <w:p w:rsidR="00D00167" w:rsidRPr="008F50E3" w:rsidP="00D00167" w14:paraId="2938E00C" w14:textId="77777777">
      <w:pPr>
        <w:pStyle w:val="Heading1"/>
      </w:pPr>
      <w:r w:rsidRPr="008F50E3">
        <w:t>В графе «Примечание» указывается доля владения пакетом ценных бумаг, обеспечивающих участие в капитале, или доля данных ценных бумаг в общем выпуске?</w:t>
      </w:r>
    </w:p>
    <w:p w:rsidR="00D00167" w:rsidRPr="008F50E3" w:rsidP="00ED6169" w14:paraId="05F7E396" w14:textId="77777777">
      <w:pPr>
        <w:spacing w:line="360" w:lineRule="auto"/>
      </w:pPr>
      <w:r w:rsidRPr="008F50E3">
        <w:t xml:space="preserve">В графе </w:t>
      </w:r>
      <w:r w:rsidRPr="008F50E3" w:rsidR="00F05592">
        <w:t xml:space="preserve">«Примечание» </w:t>
      </w:r>
      <w:r w:rsidRPr="008F50E3">
        <w:t>в соответствующих случаях при наличии сведений указывается доля владения ценными бумагами, обеспечивающими участие в капитале, в общем выпуске соответствующих бумаг.</w:t>
      </w:r>
    </w:p>
    <w:p w:rsidR="00630C4E" w:rsidRPr="008F50E3" w:rsidP="00630C4E" w14:paraId="11E29FF3" w14:textId="77777777">
      <w:pPr>
        <w:pStyle w:val="Heading1"/>
      </w:pPr>
      <w:r w:rsidRPr="008F50E3">
        <w:t xml:space="preserve">Какой код страны эмитента указывать для ценных бумаг, выпущенных </w:t>
      </w:r>
      <w:r w:rsidRPr="008F50E3" w:rsidR="00241EF1">
        <w:t>иностранными компаниями специального назначения</w:t>
      </w:r>
      <w:r w:rsidRPr="008F50E3" w:rsidR="00245429">
        <w:t xml:space="preserve"> (</w:t>
      </w:r>
      <w:r w:rsidRPr="008F50E3" w:rsidR="00245429">
        <w:rPr>
          <w:lang w:val="en-US"/>
        </w:rPr>
        <w:t>SPV</w:t>
      </w:r>
      <w:r w:rsidRPr="008F50E3" w:rsidR="00245429">
        <w:t>)</w:t>
      </w:r>
      <w:r w:rsidRPr="008F50E3" w:rsidR="00241EF1">
        <w:t xml:space="preserve"> российских резидентов?</w:t>
      </w:r>
    </w:p>
    <w:p w:rsidR="00241EF1" w:rsidRPr="008F50E3" w:rsidP="00241EF1" w14:paraId="3E1EF86E" w14:textId="77777777">
      <w:pPr>
        <w:spacing w:line="360" w:lineRule="auto"/>
      </w:pPr>
      <w:r w:rsidRPr="008F50E3">
        <w:t>В отношении ценных бумаг, выпущенных компаниями специального назначения – нерезидентами, следует указывать код страны эмитента, в которой данная компания специального назначения зарегистрирована.</w:t>
      </w:r>
    </w:p>
    <w:p w:rsidR="00CD391C" w:rsidRPr="008F50E3" w:rsidP="00CD391C" w14:paraId="452D74EB" w14:textId="77777777">
      <w:pPr>
        <w:pStyle w:val="Heading1"/>
      </w:pPr>
      <w:r w:rsidRPr="008F50E3">
        <w:t>Как о</w:t>
      </w:r>
      <w:r w:rsidRPr="008F50E3" w:rsidR="006E5630">
        <w:t>пределяется</w:t>
      </w:r>
      <w:r w:rsidRPr="008F50E3">
        <w:t xml:space="preserve"> рыночная стоимость </w:t>
      </w:r>
      <w:r w:rsidRPr="008F50E3" w:rsidR="004A0707">
        <w:t>замеще</w:t>
      </w:r>
      <w:r w:rsidRPr="008F50E3">
        <w:t>нных еврооблигаций?</w:t>
      </w:r>
    </w:p>
    <w:p w:rsidR="006E5630" w:rsidRPr="008F50E3" w:rsidP="006E5630" w14:paraId="7BEB36DB" w14:textId="77777777">
      <w:pPr>
        <w:spacing w:line="360" w:lineRule="auto"/>
      </w:pPr>
      <w:r w:rsidRPr="008F50E3">
        <w:t>В случае погашения или аннулирования замещ</w:t>
      </w:r>
      <w:r w:rsidRPr="008F50E3" w:rsidR="00933A53">
        <w:t>e</w:t>
      </w:r>
      <w:r w:rsidRPr="008F50E3">
        <w:t>нных еврооблигаций рыночная стоимость принимается равной нулю, в графе «Пр</w:t>
      </w:r>
      <w:r w:rsidRPr="008F50E3" w:rsidR="00B42C4D">
        <w:t>имеча</w:t>
      </w:r>
      <w:r w:rsidRPr="008F50E3">
        <w:t xml:space="preserve">ние» необходимо указать факт замещения. В ином случае рыночная стоимость </w:t>
      </w:r>
      <w:r w:rsidRPr="008F50E3" w:rsidR="00956E9C">
        <w:t>замещенных</w:t>
      </w:r>
      <w:r w:rsidRPr="008F50E3">
        <w:t xml:space="preserve"> еврооблигации оценивается в стандартном порядке</w:t>
      </w:r>
      <w:r w:rsidRPr="008F50E3" w:rsidR="004A0707">
        <w:t xml:space="preserve">, определенном </w:t>
      </w:r>
      <w:hyperlink r:id="rId7" w:history="1">
        <w:r w:rsidRPr="008F50E3" w:rsidR="004A0707">
          <w:rPr>
            <w:rStyle w:val="Hyperlink"/>
          </w:rPr>
          <w:t xml:space="preserve">Указанием </w:t>
        </w:r>
        <w:r w:rsidRPr="008F50E3" w:rsidR="004A0707">
          <w:rPr>
            <w:rStyle w:val="Hyperlink"/>
            <w:szCs w:val="28"/>
          </w:rPr>
          <w:t>Банка России от 16.02.2023 № 6363-У</w:t>
        </w:r>
      </w:hyperlink>
      <w:r>
        <w:rPr>
          <w:rStyle w:val="FootnoteReference"/>
          <w:color w:val="0000FF"/>
          <w:szCs w:val="28"/>
          <w:u w:val="single"/>
        </w:rPr>
        <w:footnoteReference w:id="3"/>
      </w:r>
      <w:r w:rsidRPr="008F50E3">
        <w:t>.</w:t>
      </w:r>
    </w:p>
    <w:p w:rsidR="006E5630" w:rsidRPr="008F50E3" w:rsidP="006E5630" w14:paraId="09A46773" w14:textId="77777777">
      <w:pPr>
        <w:pStyle w:val="Heading1"/>
      </w:pPr>
      <w:r w:rsidRPr="008F50E3">
        <w:t xml:space="preserve">Как определяется рыночная стоимость </w:t>
      </w:r>
      <w:r w:rsidRPr="008F50E3" w:rsidR="00A63EB9">
        <w:t>ценных бумаг</w:t>
      </w:r>
      <w:r w:rsidRPr="008F50E3">
        <w:t xml:space="preserve"> </w:t>
      </w:r>
      <w:r w:rsidRPr="008F50E3" w:rsidR="00373D3C">
        <w:t xml:space="preserve">иностранных </w:t>
      </w:r>
      <w:r w:rsidRPr="008F50E3">
        <w:t>инвестиционных фондов, не обращающихся на организованном рынке ценных бумаг?</w:t>
      </w:r>
    </w:p>
    <w:p w:rsidR="006E5630" w:rsidRPr="008F50E3" w:rsidP="006E5630" w14:paraId="03214BDF" w14:textId="77777777">
      <w:pPr>
        <w:spacing w:line="360" w:lineRule="auto"/>
      </w:pPr>
      <w:r>
        <w:t xml:space="preserve">Расчетная рыночная </w:t>
      </w:r>
      <w:r w:rsidRPr="008F50E3">
        <w:t>цена н</w:t>
      </w:r>
      <w:r w:rsidRPr="008F50E3" w:rsidR="00A63EB9">
        <w:t>е</w:t>
      </w:r>
      <w:r w:rsidRPr="008F50E3">
        <w:t>обращающе</w:t>
      </w:r>
      <w:r w:rsidRPr="008F50E3" w:rsidR="00A63EB9">
        <w:t>йся ценной бумаги</w:t>
      </w:r>
      <w:r w:rsidRPr="008F50E3">
        <w:t xml:space="preserve"> </w:t>
      </w:r>
      <w:r w:rsidRPr="008F50E3" w:rsidR="00373D3C">
        <w:t xml:space="preserve">иностранного </w:t>
      </w:r>
      <w:r w:rsidRPr="008F50E3">
        <w:t>инвестиционного фонда определяется как последняя рассчитан</w:t>
      </w:r>
      <w:r w:rsidRPr="008F50E3" w:rsidR="00110CD9">
        <w:t>ная на день совершения сделки с ценными бумагами</w:t>
      </w:r>
      <w:r w:rsidRPr="008F50E3">
        <w:t xml:space="preserve"> </w:t>
      </w:r>
      <w:r w:rsidRPr="008F50E3" w:rsidR="00110CD9">
        <w:t xml:space="preserve">иностранного инвестиционного фонда </w:t>
      </w:r>
      <w:r w:rsidRPr="008F50E3">
        <w:t>сумма денежной компенса</w:t>
      </w:r>
      <w:r w:rsidRPr="008F50E3" w:rsidR="00110CD9">
        <w:t>ции, причитающаяся владельцу ценных бумаг иностранного инвестиционного фонда</w:t>
      </w:r>
      <w:r w:rsidRPr="008F50E3">
        <w:t xml:space="preserve"> в связи с его погашением. Таким образом, в графе «Стоимость пакета ценных бумаг (рыночная)» будет указано произведение данной цены на количество соответствующих ценных бумаг в пакете.</w:t>
      </w:r>
    </w:p>
    <w:p w:rsidR="008A1757" w:rsidRPr="008F50E3" w:rsidP="00E15B73" w14:paraId="2F685A1E" w14:textId="77777777">
      <w:pPr>
        <w:pStyle w:val="Heading1"/>
      </w:pPr>
      <w:bookmarkStart w:id="8" w:name="_Toc416173586"/>
      <w:bookmarkStart w:id="9" w:name="_Toc416173822"/>
      <w:bookmarkStart w:id="10" w:name="_Toc63323370"/>
      <w:r w:rsidRPr="008F50E3">
        <w:t xml:space="preserve">Каким образом можно </w:t>
      </w:r>
      <w:r w:rsidRPr="008F50E3" w:rsidR="007C4494">
        <w:t>направить</w:t>
      </w:r>
      <w:r w:rsidRPr="008F50E3">
        <w:t xml:space="preserve"> форму отчетности?</w:t>
      </w:r>
      <w:bookmarkEnd w:id="8"/>
      <w:bookmarkEnd w:id="9"/>
      <w:bookmarkEnd w:id="10"/>
    </w:p>
    <w:p w:rsidR="008A1757" w:rsidRPr="008F50E3" w:rsidP="00C43825" w14:paraId="5155FBE7" w14:textId="77777777">
      <w:pPr>
        <w:tabs>
          <w:tab w:val="left" w:pos="1276"/>
          <w:tab w:val="left" w:pos="1418"/>
        </w:tabs>
        <w:spacing w:line="360" w:lineRule="auto"/>
        <w:rPr>
          <w:szCs w:val="28"/>
        </w:rPr>
      </w:pPr>
      <w:r w:rsidRPr="008F50E3">
        <w:rPr>
          <w:spacing w:val="2"/>
          <w:szCs w:val="28"/>
        </w:rPr>
        <w:t xml:space="preserve">Респонденты предоставляют в Банк России первичные статистические данные в виде электронного документа, подписанного усиленной квалифицированной электронной подписью, в соответствии с требованиями </w:t>
      </w:r>
      <w:hyperlink r:id="rId8" w:history="1">
        <w:r w:rsidRPr="008F50E3">
          <w:rPr>
            <w:rStyle w:val="Hyperlink"/>
            <w:spacing w:val="2"/>
            <w:szCs w:val="28"/>
          </w:rPr>
          <w:t xml:space="preserve">Указания Банка России </w:t>
        </w:r>
        <w:r w:rsidRPr="008F50E3" w:rsidR="0068063C">
          <w:rPr>
            <w:rStyle w:val="Hyperlink"/>
            <w:szCs w:val="28"/>
          </w:rPr>
          <w:t>от</w:t>
        </w:r>
        <w:r w:rsidRPr="008F50E3" w:rsidR="00824EC4">
          <w:rPr>
            <w:rStyle w:val="Hyperlink"/>
            <w:szCs w:val="28"/>
          </w:rPr>
          <w:t xml:space="preserve"> </w:t>
        </w:r>
        <w:r w:rsidRPr="008F50E3" w:rsidR="005668C9">
          <w:rPr>
            <w:rStyle w:val="Hyperlink"/>
            <w:szCs w:val="28"/>
          </w:rPr>
          <w:t xml:space="preserve">03.09.2025 </w:t>
        </w:r>
        <w:r w:rsidRPr="008F50E3" w:rsidR="002F2F77">
          <w:rPr>
            <w:rStyle w:val="Hyperlink"/>
            <w:szCs w:val="28"/>
          </w:rPr>
          <w:t xml:space="preserve">№ </w:t>
        </w:r>
        <w:r w:rsidRPr="008F50E3" w:rsidR="0068063C">
          <w:rPr>
            <w:rStyle w:val="Hyperlink"/>
            <w:szCs w:val="28"/>
          </w:rPr>
          <w:t>6836</w:t>
        </w:r>
        <w:r w:rsidRPr="008F50E3">
          <w:rPr>
            <w:rStyle w:val="Hyperlink"/>
            <w:szCs w:val="28"/>
          </w:rPr>
          <w:t>-У</w:t>
        </w:r>
      </w:hyperlink>
      <w:r>
        <w:rPr>
          <w:rStyle w:val="FootnoteReference"/>
          <w:color w:val="0000FF"/>
          <w:szCs w:val="28"/>
          <w:u w:val="single"/>
        </w:rPr>
        <w:footnoteReference w:id="4"/>
      </w:r>
      <w:r w:rsidRPr="008F50E3">
        <w:rPr>
          <w:szCs w:val="28"/>
        </w:rPr>
        <w:t>.</w:t>
      </w:r>
    </w:p>
    <w:p w:rsidR="008A1757" w:rsidRPr="008F50E3" w:rsidP="00C55383" w14:paraId="6AADB6F0" w14:textId="77777777">
      <w:pPr>
        <w:spacing w:line="360" w:lineRule="auto"/>
        <w:rPr>
          <w:szCs w:val="28"/>
        </w:rPr>
      </w:pPr>
      <w:r w:rsidRPr="008F50E3">
        <w:rPr>
          <w:spacing w:val="2"/>
          <w:szCs w:val="28"/>
        </w:rPr>
        <w:t>При отсутствии возможности предоставления первичных статистических данных в виде электронного документа</w:t>
      </w:r>
      <w:r w:rsidRPr="008F50E3">
        <w:rPr>
          <w:szCs w:val="28"/>
        </w:rPr>
        <w:t xml:space="preserve"> респонденты пред</w:t>
      </w:r>
      <w:r w:rsidRPr="008F50E3" w:rsidR="00224A31">
        <w:rPr>
          <w:szCs w:val="28"/>
        </w:rPr>
        <w:t>ставляют заполненную форму №</w:t>
      </w:r>
      <w:r w:rsidR="00560CBD">
        <w:rPr>
          <w:szCs w:val="28"/>
        </w:rPr>
        <w:t xml:space="preserve"> </w:t>
      </w:r>
      <w:r w:rsidRPr="008F50E3" w:rsidR="00224A31">
        <w:rPr>
          <w:szCs w:val="28"/>
        </w:rPr>
        <w:t>1-ИЦБ</w:t>
      </w:r>
      <w:r w:rsidRPr="008F50E3">
        <w:rPr>
          <w:szCs w:val="28"/>
        </w:rPr>
        <w:t xml:space="preserve"> в территориальное учреждение Банка России в субъекте Российской Федерации по месту государственной регистрации респондента на бумажном носителе по почте либо кур</w:t>
      </w:r>
      <w:r w:rsidRPr="008F50E3" w:rsidR="00276024">
        <w:rPr>
          <w:szCs w:val="28"/>
        </w:rPr>
        <w:t>ьером. Представление формы №</w:t>
      </w:r>
      <w:r w:rsidR="00560CBD">
        <w:rPr>
          <w:szCs w:val="28"/>
        </w:rPr>
        <w:t xml:space="preserve"> </w:t>
      </w:r>
      <w:r w:rsidRPr="008F50E3" w:rsidR="00276024">
        <w:rPr>
          <w:szCs w:val="28"/>
        </w:rPr>
        <w:t>1-ИЦБ</w:t>
      </w:r>
      <w:r w:rsidRPr="008F50E3">
        <w:rPr>
          <w:szCs w:val="28"/>
        </w:rPr>
        <w:t xml:space="preserve"> на бумажном носителе должно сопровождаться ее представлением в электронном виде на съемном машинном носителе информации (CD/DVD-диски, flash-накопители).</w:t>
      </w:r>
    </w:p>
    <w:p w:rsidR="00D4155E" w:rsidP="00C55383" w14:paraId="25501637" w14:textId="77777777">
      <w:pPr>
        <w:spacing w:line="360" w:lineRule="auto"/>
      </w:pPr>
      <w:r w:rsidRPr="008F50E3">
        <w:rPr>
          <w:szCs w:val="28"/>
        </w:rPr>
        <w:t xml:space="preserve">При представлении отчетности через личный кабинет бумажный экземпляр формы не требуется. </w:t>
      </w:r>
      <w:r w:rsidR="00E87723">
        <w:t>П</w:t>
      </w:r>
      <w:r>
        <w:t>одробнее см.:</w:t>
      </w:r>
    </w:p>
    <w:p w:rsidR="00D4155E" w:rsidRPr="00D4155E" w:rsidP="001A7DCB" w14:paraId="0C710D95" w14:textId="38BFD9B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D4155E" w:rsidR="00E87723">
          <w:rPr>
            <w:rStyle w:val="Hyperlink"/>
            <w:rFonts w:ascii="Times New Roman" w:hAnsi="Times New Roman"/>
            <w:sz w:val="28"/>
            <w:szCs w:val="28"/>
          </w:rPr>
          <w:t>Предоставление отчетности по формам федерального статистического наблюдения через сервисы операторов электронного документооборота</w:t>
        </w:r>
      </w:hyperlink>
      <w:r w:rsidRPr="00D4155E">
        <w:rPr>
          <w:rFonts w:ascii="Times New Roman" w:hAnsi="Times New Roman"/>
          <w:sz w:val="28"/>
          <w:szCs w:val="28"/>
        </w:rPr>
        <w:t>;</w:t>
      </w:r>
    </w:p>
    <w:p w:rsidR="00D4155E" w:rsidRPr="00D4155E" w:rsidP="001A7DCB" w14:paraId="6822B92F" w14:textId="777777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D4155E" w:rsidR="00E87723">
          <w:rPr>
            <w:rStyle w:val="Hyperlink"/>
            <w:rFonts w:ascii="Times New Roman" w:hAnsi="Times New Roman"/>
            <w:sz w:val="28"/>
            <w:szCs w:val="28"/>
          </w:rPr>
          <w:t>Краткая инструкция по открытию и активации личного кабинета участника информационного обмена и отправке отчетности по формам федерального статистического</w:t>
        </w:r>
      </w:hyperlink>
      <w:r w:rsidRPr="00D4155E">
        <w:rPr>
          <w:rFonts w:ascii="Times New Roman" w:hAnsi="Times New Roman"/>
          <w:sz w:val="28"/>
          <w:szCs w:val="28"/>
        </w:rPr>
        <w:t>;</w:t>
      </w:r>
      <w:r w:rsidRPr="00D4155E" w:rsidR="00E87723">
        <w:rPr>
          <w:rFonts w:ascii="Times New Roman" w:hAnsi="Times New Roman"/>
          <w:sz w:val="28"/>
          <w:szCs w:val="28"/>
        </w:rPr>
        <w:t xml:space="preserve"> </w:t>
      </w:r>
    </w:p>
    <w:p w:rsidR="008A1757" w:rsidRPr="00D4155E" w:rsidP="001A7DCB" w14:paraId="172738C9" w14:textId="777777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D4155E" w:rsidR="00E87723">
          <w:rPr>
            <w:rStyle w:val="Hyperlink"/>
            <w:rFonts w:ascii="Times New Roman" w:hAnsi="Times New Roman"/>
            <w:sz w:val="28"/>
            <w:szCs w:val="28"/>
          </w:rPr>
          <w:t>Видеоинструкции по работе с личным кабинетом наблюдения</w:t>
        </w:r>
      </w:hyperlink>
      <w:r w:rsidRPr="00D4155E" w:rsidR="00E87723">
        <w:rPr>
          <w:rFonts w:ascii="Times New Roman" w:hAnsi="Times New Roman"/>
          <w:sz w:val="28"/>
          <w:szCs w:val="28"/>
        </w:rPr>
        <w:t>.</w:t>
      </w:r>
    </w:p>
    <w:p w:rsidR="008A1757" w:rsidRPr="008F50E3" w:rsidP="00E15B73" w14:paraId="56BA4265" w14:textId="77777777">
      <w:pPr>
        <w:pStyle w:val="Heading1"/>
      </w:pPr>
      <w:bookmarkStart w:id="11" w:name="_Toc416173591"/>
      <w:bookmarkStart w:id="12" w:name="_Toc416173827"/>
      <w:bookmarkStart w:id="13" w:name="_Toc63323373"/>
      <w:r w:rsidRPr="008F50E3">
        <w:t>Необходимо ли наличие подписи и/или печати на бумажном экземпляре формы отчетности?</w:t>
      </w:r>
      <w:bookmarkEnd w:id="11"/>
      <w:bookmarkEnd w:id="12"/>
      <w:bookmarkEnd w:id="13"/>
    </w:p>
    <w:p w:rsidR="008A1757" w:rsidP="00C55383" w14:paraId="4292128E" w14:textId="77777777">
      <w:pPr>
        <w:spacing w:line="360" w:lineRule="auto"/>
        <w:rPr>
          <w:szCs w:val="28"/>
        </w:rPr>
      </w:pPr>
      <w:r w:rsidRPr="008F50E3">
        <w:rPr>
          <w:szCs w:val="28"/>
        </w:rPr>
        <w:t>Наличие подписи на</w:t>
      </w:r>
      <w:r w:rsidRPr="008F50E3" w:rsidR="00E95F8B">
        <w:rPr>
          <w:szCs w:val="28"/>
        </w:rPr>
        <w:t xml:space="preserve"> бумажном экземпляре формы №</w:t>
      </w:r>
      <w:r w:rsidR="00560CBD">
        <w:rPr>
          <w:szCs w:val="28"/>
        </w:rPr>
        <w:t xml:space="preserve"> </w:t>
      </w:r>
      <w:r w:rsidRPr="008F50E3" w:rsidR="00E95F8B">
        <w:rPr>
          <w:szCs w:val="28"/>
        </w:rPr>
        <w:t>1-ИЦБ</w:t>
      </w:r>
      <w:r w:rsidRPr="008F50E3">
        <w:rPr>
          <w:szCs w:val="28"/>
        </w:rPr>
        <w:t xml:space="preserve"> обязательно. Подпись должностного лица ставится на титульном листе над строкой </w:t>
      </w:r>
      <w:r w:rsidRPr="008F50E3" w:rsidR="001D0C50">
        <w:rPr>
          <w:szCs w:val="28"/>
        </w:rPr>
        <w:t>«</w:t>
      </w:r>
      <w:r w:rsidRPr="008F50E3">
        <w:rPr>
          <w:szCs w:val="28"/>
        </w:rPr>
        <w:t>(подпись)</w:t>
      </w:r>
      <w:r w:rsidRPr="008F50E3" w:rsidR="001D0C50">
        <w:rPr>
          <w:szCs w:val="28"/>
        </w:rPr>
        <w:t>»</w:t>
      </w:r>
      <w:r w:rsidRPr="008F50E3">
        <w:rPr>
          <w:szCs w:val="28"/>
        </w:rPr>
        <w:t>. На</w:t>
      </w:r>
      <w:r w:rsidRPr="008F50E3" w:rsidR="00E95F8B">
        <w:rPr>
          <w:szCs w:val="28"/>
        </w:rPr>
        <w:t xml:space="preserve">личие печати </w:t>
      </w:r>
      <w:r w:rsidRPr="00DF4A2B" w:rsidR="00D4155E">
        <w:rPr>
          <w:szCs w:val="28"/>
        </w:rPr>
        <w:t>на бланке</w:t>
      </w:r>
      <w:r w:rsidRPr="008F50E3" w:rsidR="00E95F8B">
        <w:rPr>
          <w:szCs w:val="28"/>
        </w:rPr>
        <w:t xml:space="preserve"> формы №</w:t>
      </w:r>
      <w:r w:rsidR="00560CBD">
        <w:rPr>
          <w:szCs w:val="28"/>
        </w:rPr>
        <w:t xml:space="preserve"> </w:t>
      </w:r>
      <w:r w:rsidRPr="008F50E3" w:rsidR="00E95F8B">
        <w:rPr>
          <w:szCs w:val="28"/>
        </w:rPr>
        <w:t>1-ИЦБ</w:t>
      </w:r>
      <w:r w:rsidRPr="008F50E3">
        <w:rPr>
          <w:szCs w:val="28"/>
        </w:rPr>
        <w:t xml:space="preserve"> не предусмотрено</w:t>
      </w:r>
      <w:r w:rsidRPr="008F50E3" w:rsidR="00E95F8B">
        <w:rPr>
          <w:szCs w:val="28"/>
        </w:rPr>
        <w:t>.</w:t>
      </w:r>
    </w:p>
    <w:sectPr>
      <w:headerReference w:type="default" r:id="rId12"/>
      <w:footerReference w:type="defaul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C050AA" w14:paraId="2588EAEC" w14:textId="77777777">
      <w:pPr>
        <w:spacing w:before="0"/>
      </w:pPr>
      <w:r>
        <w:separator/>
      </w:r>
    </w:p>
  </w:endnote>
  <w:endnote w:type="continuationSeparator" w:id="1">
    <w:p w:rsidR="00C050AA" w14:paraId="43B434DF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757" w14:paraId="270BF3E7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66FE7">
      <w:rPr>
        <w:noProof/>
      </w:rPr>
      <w:t>1</w:t>
    </w:r>
    <w:r>
      <w:fldChar w:fldCharType="end"/>
    </w:r>
  </w:p>
  <w:p w:rsidR="008A1757" w14:paraId="1098B15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050AA" w14:paraId="5C0D23B6" w14:textId="77777777">
      <w:pPr>
        <w:spacing w:before="0"/>
      </w:pPr>
      <w:r>
        <w:separator/>
      </w:r>
    </w:p>
  </w:footnote>
  <w:footnote w:type="continuationSeparator" w:id="1">
    <w:p w:rsidR="00C050AA" w14:paraId="03C863B5" w14:textId="77777777">
      <w:pPr>
        <w:spacing w:before="0"/>
      </w:pPr>
      <w:r>
        <w:continuationSeparator/>
      </w:r>
    </w:p>
  </w:footnote>
  <w:footnote w:id="2">
    <w:p w:rsidR="008A476B" w:rsidRPr="00FF4C31" w:rsidP="008A476B" w14:paraId="01BA7119" w14:textId="77777777">
      <w:pPr>
        <w:pStyle w:val="FootnoteText"/>
        <w:rPr>
          <w:sz w:val="22"/>
          <w:szCs w:val="22"/>
        </w:rPr>
      </w:pPr>
      <w:r w:rsidRPr="00FF4C31">
        <w:rPr>
          <w:rStyle w:val="FootnoteReference"/>
          <w:sz w:val="22"/>
          <w:szCs w:val="22"/>
        </w:rPr>
        <w:footnoteRef/>
      </w:r>
      <w:r w:rsidR="00FF4C31">
        <w:rPr>
          <w:sz w:val="22"/>
          <w:szCs w:val="22"/>
        </w:rPr>
        <w:t xml:space="preserve"> </w:t>
      </w:r>
      <w:r w:rsidRPr="00FF4C31">
        <w:rPr>
          <w:sz w:val="22"/>
          <w:szCs w:val="22"/>
        </w:rPr>
        <w:t>Указание Банка России от 16.02.2023 № 6363-У "О формировании и утверждении статистической методологии, перечня респондентов, форм федерального статистического наблюдения и порядка составления и предоставления респондентами первичных статистических данных по этим формам в Центральный банк Российской Федерации для составления платежного баланса Российской Федерации, международной инвестиционной позиции Российской Федерации, статистики внешней торговли Российской Федерации услугами, внешнего долга Российской Федерации, прямых инвестиций в Российскую Федерацию и прямых инвестиций из Российской Федерации за рубеж"</w:t>
      </w:r>
      <w:r w:rsidR="006F37DD">
        <w:rPr>
          <w:sz w:val="22"/>
          <w:szCs w:val="22"/>
        </w:rPr>
        <w:t>.</w:t>
      </w:r>
    </w:p>
  </w:footnote>
  <w:footnote w:id="3">
    <w:p w:rsidR="005276F0" w:rsidRPr="00FF4C31" w:rsidP="005276F0" w14:paraId="68918207" w14:textId="77777777">
      <w:pPr>
        <w:pStyle w:val="FootnoteText"/>
        <w:rPr>
          <w:sz w:val="22"/>
          <w:szCs w:val="22"/>
        </w:rPr>
      </w:pPr>
      <w:r w:rsidRPr="00FF4C31">
        <w:rPr>
          <w:rStyle w:val="FootnoteReference"/>
          <w:sz w:val="22"/>
          <w:szCs w:val="22"/>
        </w:rPr>
        <w:footnoteRef/>
      </w:r>
      <w:r w:rsidRPr="00FF4C31">
        <w:rPr>
          <w:sz w:val="22"/>
          <w:szCs w:val="22"/>
        </w:rPr>
        <w:t xml:space="preserve"> Указание Банка России от 16.02.2023 № 6363-У </w:t>
      </w:r>
    </w:p>
    <w:p w:rsidR="005276F0" w:rsidRPr="00FF4C31" w:rsidP="005276F0" w14:paraId="31363E5B" w14:textId="77777777">
      <w:pPr>
        <w:pStyle w:val="FootnoteText"/>
        <w:rPr>
          <w:sz w:val="22"/>
          <w:szCs w:val="22"/>
        </w:rPr>
      </w:pPr>
      <w:r w:rsidRPr="00FF4C31">
        <w:rPr>
          <w:sz w:val="22"/>
          <w:szCs w:val="22"/>
        </w:rPr>
        <w:t>"О формировании и утверждении статистической методологии, перечня респондентов, форм федерального статистического наблюдения и порядка составления и предоставления респондентами первичных статистических данных по этим формам в Центральный банк Российской Федерации для составления платежного баланса Российской Федерации, международной инвестиционной позиции Российской Федерации, статистики внешней торговли Российской Федерации услугами, внешнего долга Российской Федерации, прямых инвестиций в Российскую Федерацию и прямых инвестиций из Российской Федерации за рубеж"</w:t>
      </w:r>
      <w:r w:rsidR="006F37DD">
        <w:rPr>
          <w:sz w:val="22"/>
          <w:szCs w:val="22"/>
        </w:rPr>
        <w:t>.</w:t>
      </w:r>
    </w:p>
  </w:footnote>
  <w:footnote w:id="4">
    <w:p w:rsidR="00400330" w:rsidRPr="00FF4C31" w:rsidP="00400330" w14:paraId="0903048D" w14:textId="77777777">
      <w:pPr>
        <w:pStyle w:val="FootnoteText"/>
        <w:rPr>
          <w:sz w:val="22"/>
          <w:szCs w:val="22"/>
        </w:rPr>
      </w:pPr>
      <w:r w:rsidRPr="00FF4C31">
        <w:rPr>
          <w:rStyle w:val="FootnoteReference"/>
          <w:sz w:val="22"/>
          <w:szCs w:val="22"/>
        </w:rPr>
        <w:footnoteRef/>
      </w:r>
      <w:r w:rsidRPr="00FF4C31">
        <w:rPr>
          <w:sz w:val="22"/>
          <w:szCs w:val="22"/>
        </w:rPr>
        <w:t xml:space="preserve"> Указание Банка России от 03.09.2024 № 6836-У (ред. от 26.05.2025) </w:t>
      </w:r>
    </w:p>
    <w:p w:rsidR="00400330" w:rsidRPr="00FF4C31" w:rsidP="00400330" w14:paraId="53D24061" w14:textId="77777777">
      <w:pPr>
        <w:pStyle w:val="FootnoteText"/>
        <w:rPr>
          <w:sz w:val="22"/>
          <w:szCs w:val="22"/>
        </w:rPr>
      </w:pPr>
      <w:r w:rsidRPr="00FF4C31">
        <w:rPr>
          <w:sz w:val="22"/>
          <w:szCs w:val="22"/>
        </w:rPr>
        <w:t>"О порядке взаимодействия Банка России с кредитными организациями, некредитными финансовыми организациями, лицами, оказывающими профессиональные услуги на финансовом рынке, и другими участниками информационного обмена при использовании ими информационных ресурсов Банка России, в том числе личного кабинета, а также о порядке и сроках направления уведомления об использовании личного кабинета и уведомления об отказе от использования личного кабинета"</w:t>
      </w:r>
      <w:r w:rsidR="006F37DD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757" w14:paraId="6D4FF376" w14:textId="77777777">
    <w:pPr>
      <w:ind w:left="0"/>
      <w:jc w:val="right"/>
      <w:rPr>
        <w:sz w:val="22"/>
        <w:szCs w:val="3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687E4E"/>
    <w:multiLevelType w:val="singleLevel"/>
    <w:tmpl w:val="0C92902A"/>
    <w:lvl w:ilvl="0">
      <w:start w:val="1"/>
      <w:numFmt w:val="bullet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>
    <w:nsid w:val="0DCD149B"/>
    <w:multiLevelType w:val="hybridMultilevel"/>
    <w:tmpl w:val="8A94B03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EB4155"/>
    <w:multiLevelType w:val="hybridMultilevel"/>
    <w:tmpl w:val="304E8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B01CD"/>
    <w:multiLevelType w:val="hybridMultilevel"/>
    <w:tmpl w:val="F2763D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B03B7"/>
    <w:multiLevelType w:val="hybridMultilevel"/>
    <w:tmpl w:val="4B58F0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1AC569F"/>
    <w:multiLevelType w:val="hybridMultilevel"/>
    <w:tmpl w:val="A97221C8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3B313DA"/>
    <w:multiLevelType w:val="multilevel"/>
    <w:tmpl w:val="7E26EE1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85C339D"/>
    <w:multiLevelType w:val="hybridMultilevel"/>
    <w:tmpl w:val="ED020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6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57"/>
    <w:rsid w:val="00022991"/>
    <w:rsid w:val="00024187"/>
    <w:rsid w:val="00040946"/>
    <w:rsid w:val="000B7579"/>
    <w:rsid w:val="000C1900"/>
    <w:rsid w:val="000C36D6"/>
    <w:rsid w:val="000C3FD9"/>
    <w:rsid w:val="000C41AC"/>
    <w:rsid w:val="000C53E5"/>
    <w:rsid w:val="000D2F7D"/>
    <w:rsid w:val="000E49D0"/>
    <w:rsid w:val="00110CD9"/>
    <w:rsid w:val="00113D50"/>
    <w:rsid w:val="001355D3"/>
    <w:rsid w:val="00170644"/>
    <w:rsid w:val="0017291F"/>
    <w:rsid w:val="00172BC3"/>
    <w:rsid w:val="00173DD3"/>
    <w:rsid w:val="0018762C"/>
    <w:rsid w:val="001A067A"/>
    <w:rsid w:val="001A18E7"/>
    <w:rsid w:val="001A6CC7"/>
    <w:rsid w:val="001A7DCB"/>
    <w:rsid w:val="001B33ED"/>
    <w:rsid w:val="001B7BD9"/>
    <w:rsid w:val="001D0C50"/>
    <w:rsid w:val="001E7FC3"/>
    <w:rsid w:val="001F52D4"/>
    <w:rsid w:val="002170A1"/>
    <w:rsid w:val="00217996"/>
    <w:rsid w:val="00220D8C"/>
    <w:rsid w:val="00224A31"/>
    <w:rsid w:val="00241EF1"/>
    <w:rsid w:val="00242766"/>
    <w:rsid w:val="00245429"/>
    <w:rsid w:val="00254395"/>
    <w:rsid w:val="00257B61"/>
    <w:rsid w:val="00276024"/>
    <w:rsid w:val="00294246"/>
    <w:rsid w:val="002D48EC"/>
    <w:rsid w:val="002D6B55"/>
    <w:rsid w:val="002E659F"/>
    <w:rsid w:val="002F27DC"/>
    <w:rsid w:val="002F2F77"/>
    <w:rsid w:val="00351D79"/>
    <w:rsid w:val="00373D3C"/>
    <w:rsid w:val="00392B10"/>
    <w:rsid w:val="003B5F4F"/>
    <w:rsid w:val="003C1CD4"/>
    <w:rsid w:val="003C2838"/>
    <w:rsid w:val="003F7DAB"/>
    <w:rsid w:val="00400330"/>
    <w:rsid w:val="00410B4E"/>
    <w:rsid w:val="004353BB"/>
    <w:rsid w:val="00440643"/>
    <w:rsid w:val="00460359"/>
    <w:rsid w:val="004906F8"/>
    <w:rsid w:val="004A0707"/>
    <w:rsid w:val="004A12A7"/>
    <w:rsid w:val="004A1663"/>
    <w:rsid w:val="004E0720"/>
    <w:rsid w:val="004E5847"/>
    <w:rsid w:val="004F1F1F"/>
    <w:rsid w:val="004F2EC1"/>
    <w:rsid w:val="005077F3"/>
    <w:rsid w:val="00516A18"/>
    <w:rsid w:val="005276F0"/>
    <w:rsid w:val="0054338A"/>
    <w:rsid w:val="00560CBD"/>
    <w:rsid w:val="005668C9"/>
    <w:rsid w:val="00566FE7"/>
    <w:rsid w:val="00576BD5"/>
    <w:rsid w:val="00577154"/>
    <w:rsid w:val="005A501D"/>
    <w:rsid w:val="005B75AE"/>
    <w:rsid w:val="005C2BE5"/>
    <w:rsid w:val="00603AC1"/>
    <w:rsid w:val="00630C4E"/>
    <w:rsid w:val="00675F11"/>
    <w:rsid w:val="0068063C"/>
    <w:rsid w:val="006807B8"/>
    <w:rsid w:val="006B6687"/>
    <w:rsid w:val="006E5630"/>
    <w:rsid w:val="006F37DD"/>
    <w:rsid w:val="00713878"/>
    <w:rsid w:val="00726603"/>
    <w:rsid w:val="00736C29"/>
    <w:rsid w:val="00737AFB"/>
    <w:rsid w:val="00752FA6"/>
    <w:rsid w:val="007545B0"/>
    <w:rsid w:val="00757B0B"/>
    <w:rsid w:val="0079729B"/>
    <w:rsid w:val="007A2D77"/>
    <w:rsid w:val="007C4494"/>
    <w:rsid w:val="007D3AD0"/>
    <w:rsid w:val="007F1E21"/>
    <w:rsid w:val="007F4B76"/>
    <w:rsid w:val="00804B25"/>
    <w:rsid w:val="008162EA"/>
    <w:rsid w:val="00824EC4"/>
    <w:rsid w:val="00847553"/>
    <w:rsid w:val="00851298"/>
    <w:rsid w:val="008547A1"/>
    <w:rsid w:val="008639FB"/>
    <w:rsid w:val="00866A10"/>
    <w:rsid w:val="00871C92"/>
    <w:rsid w:val="008A1757"/>
    <w:rsid w:val="008A476B"/>
    <w:rsid w:val="008D0B0A"/>
    <w:rsid w:val="008D4627"/>
    <w:rsid w:val="008D7B23"/>
    <w:rsid w:val="008E7422"/>
    <w:rsid w:val="008F50E3"/>
    <w:rsid w:val="00910513"/>
    <w:rsid w:val="00933A53"/>
    <w:rsid w:val="0094652C"/>
    <w:rsid w:val="00956E9C"/>
    <w:rsid w:val="0097623F"/>
    <w:rsid w:val="009B614F"/>
    <w:rsid w:val="00A06EFE"/>
    <w:rsid w:val="00A211E7"/>
    <w:rsid w:val="00A2190D"/>
    <w:rsid w:val="00A24CA4"/>
    <w:rsid w:val="00A40805"/>
    <w:rsid w:val="00A63EB9"/>
    <w:rsid w:val="00A800EF"/>
    <w:rsid w:val="00A95C83"/>
    <w:rsid w:val="00AD7B1D"/>
    <w:rsid w:val="00B132BE"/>
    <w:rsid w:val="00B152E3"/>
    <w:rsid w:val="00B218A1"/>
    <w:rsid w:val="00B42C4D"/>
    <w:rsid w:val="00B54CCA"/>
    <w:rsid w:val="00B558AB"/>
    <w:rsid w:val="00B7324F"/>
    <w:rsid w:val="00BD50EC"/>
    <w:rsid w:val="00BF6A8C"/>
    <w:rsid w:val="00C050AA"/>
    <w:rsid w:val="00C40A3E"/>
    <w:rsid w:val="00C43825"/>
    <w:rsid w:val="00C4484D"/>
    <w:rsid w:val="00C55383"/>
    <w:rsid w:val="00C63AE6"/>
    <w:rsid w:val="00C7544D"/>
    <w:rsid w:val="00C9188F"/>
    <w:rsid w:val="00CB79ED"/>
    <w:rsid w:val="00CC533B"/>
    <w:rsid w:val="00CD391C"/>
    <w:rsid w:val="00CD3FA8"/>
    <w:rsid w:val="00D00167"/>
    <w:rsid w:val="00D4155E"/>
    <w:rsid w:val="00D56920"/>
    <w:rsid w:val="00D727E3"/>
    <w:rsid w:val="00D76122"/>
    <w:rsid w:val="00D804F6"/>
    <w:rsid w:val="00DF4A2B"/>
    <w:rsid w:val="00E0563B"/>
    <w:rsid w:val="00E15B73"/>
    <w:rsid w:val="00E172B8"/>
    <w:rsid w:val="00E173E8"/>
    <w:rsid w:val="00E57F1D"/>
    <w:rsid w:val="00E65A96"/>
    <w:rsid w:val="00E72DB9"/>
    <w:rsid w:val="00E76E19"/>
    <w:rsid w:val="00E87723"/>
    <w:rsid w:val="00E95F8B"/>
    <w:rsid w:val="00ED6169"/>
    <w:rsid w:val="00EF4BC4"/>
    <w:rsid w:val="00F02EBB"/>
    <w:rsid w:val="00F05592"/>
    <w:rsid w:val="00F12759"/>
    <w:rsid w:val="00F2446A"/>
    <w:rsid w:val="00F3571F"/>
    <w:rsid w:val="00F5229B"/>
    <w:rsid w:val="00F54CA7"/>
    <w:rsid w:val="00F56075"/>
    <w:rsid w:val="00F90269"/>
    <w:rsid w:val="00FA25A6"/>
    <w:rsid w:val="00FA5FA5"/>
    <w:rsid w:val="00FF32C0"/>
    <w:rsid w:val="00FF45D5"/>
    <w:rsid w:val="00FF4C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6D9BF8"/>
  <w15:docId w15:val="{71E7EBFC-6851-48D8-93BB-E64054D2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Эпиграф"/>
    <w:qFormat/>
    <w:pPr>
      <w:spacing w:before="120"/>
      <w:ind w:left="567"/>
      <w:jc w:val="both"/>
    </w:pPr>
    <w:rPr>
      <w:sz w:val="28"/>
      <w:szCs w:val="24"/>
      <w:lang w:eastAsia="en-US"/>
    </w:rPr>
  </w:style>
  <w:style w:type="paragraph" w:styleId="Heading1">
    <w:name w:val="heading 1"/>
    <w:aliases w:val="Приложение 1"/>
    <w:basedOn w:val="Index1"/>
    <w:next w:val="Normal"/>
    <w:autoRedefine/>
    <w:qFormat/>
    <w:rsid w:val="00E15B73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pPr>
      <w:spacing w:before="0"/>
      <w:ind w:left="280"/>
      <w:jc w:val="left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spacing w:before="0"/>
      <w:ind w:left="560"/>
      <w:jc w:val="left"/>
    </w:pPr>
    <w:rPr>
      <w:i/>
      <w:iCs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80" w:hanging="28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  <w:jc w:val="left"/>
    </w:pPr>
    <w:rPr>
      <w:rFonts w:ascii="Calibri" w:eastAsia="Calibri" w:hAnsi="Calibri"/>
      <w:sz w:val="22"/>
      <w:szCs w:val="22"/>
    </w:rPr>
  </w:style>
  <w:style w:type="paragraph" w:styleId="TOC4">
    <w:name w:val="toc 4"/>
    <w:basedOn w:val="Normal"/>
    <w:next w:val="Normal"/>
    <w:autoRedefine/>
    <w:semiHidden/>
    <w:pPr>
      <w:spacing w:before="0"/>
      <w:ind w:left="840"/>
      <w:jc w:val="left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284"/>
        <w:tab w:val="right" w:leader="dot" w:pos="10206"/>
      </w:tabs>
      <w:spacing w:after="120"/>
      <w:ind w:left="284" w:right="566" w:hanging="284"/>
    </w:pPr>
    <w:rPr>
      <w:b/>
      <w:bCs/>
      <w:sz w:val="20"/>
      <w:szCs w:val="20"/>
    </w:rPr>
  </w:style>
  <w:style w:type="paragraph" w:styleId="TOC5">
    <w:name w:val="toc 5"/>
    <w:basedOn w:val="Normal"/>
    <w:next w:val="Normal"/>
    <w:autoRedefine/>
    <w:semiHidden/>
    <w:pPr>
      <w:spacing w:before="0"/>
      <w:ind w:left="112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spacing w:before="0"/>
      <w:ind w:left="14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spacing w:before="0"/>
      <w:ind w:left="168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spacing w:before="0"/>
      <w:ind w:left="196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spacing w:before="0"/>
      <w:ind w:left="224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025">
    <w:name w:val="Стиль Первая строка:  025 см"/>
    <w:basedOn w:val="Normal"/>
    <w:autoRedefine/>
    <w:rPr>
      <w:szCs w:val="20"/>
    </w:rPr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rPr>
      <w:sz w:val="28"/>
      <w:szCs w:val="24"/>
      <w:lang w:eastAsia="en-US"/>
    </w:rPr>
  </w:style>
  <w:style w:type="paragraph" w:styleId="Footer">
    <w:name w:val="footer"/>
    <w:basedOn w:val="Normal"/>
    <w:link w:val="a0"/>
    <w:uiPriority w:val="9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Pr>
      <w:sz w:val="28"/>
      <w:szCs w:val="24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a1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rPr>
      <w:lang w:eastAsia="en-US"/>
    </w:rPr>
  </w:style>
  <w:style w:type="paragraph" w:styleId="CommentSubject">
    <w:name w:val="annotation subject"/>
    <w:basedOn w:val="CommentText"/>
    <w:next w:val="CommentText"/>
    <w:link w:val="a2"/>
    <w:rPr>
      <w:b/>
      <w:bCs/>
    </w:rPr>
  </w:style>
  <w:style w:type="character" w:customStyle="1" w:styleId="a2">
    <w:name w:val="Тема примечания Знак"/>
    <w:basedOn w:val="a1"/>
    <w:link w:val="CommentSubject"/>
    <w:rPr>
      <w:b/>
      <w:bCs/>
      <w:lang w:eastAsia="en-US"/>
    </w:rPr>
  </w:style>
  <w:style w:type="character" w:customStyle="1" w:styleId="document-regularnamevisible">
    <w:name w:val="document-regular_name_visible"/>
    <w:basedOn w:val="DefaultParagraphFont"/>
  </w:style>
  <w:style w:type="paragraph" w:styleId="FootnoteText">
    <w:name w:val="footnote text"/>
    <w:basedOn w:val="Normal"/>
    <w:link w:val="a3"/>
    <w:semiHidden/>
    <w:unhideWhenUsed/>
    <w:rsid w:val="008162EA"/>
    <w:pPr>
      <w:spacing w:before="0"/>
    </w:pPr>
    <w:rPr>
      <w:sz w:val="20"/>
      <w:szCs w:val="20"/>
    </w:rPr>
  </w:style>
  <w:style w:type="character" w:customStyle="1" w:styleId="a3">
    <w:name w:val="Текст сноски Знак"/>
    <w:basedOn w:val="DefaultParagraphFont"/>
    <w:link w:val="FootnoteText"/>
    <w:semiHidden/>
    <w:rsid w:val="008162EA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8162EA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737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cbr.ru/Content/Document/File/103615/brief_instruction.docx" TargetMode="External" /><Relationship Id="rId11" Type="http://schemas.openxmlformats.org/officeDocument/2006/relationships/hyperlink" Target="http://www.cbr.ru/lk_uio/video_instructions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yperlink" Target="http://www.cbr.ru/Queries/UniDbQuery/File/90134/2814" TargetMode="External" /><Relationship Id="rId8" Type="http://schemas.openxmlformats.org/officeDocument/2006/relationships/hyperlink" Target="http://cbr.ru/Queries/UniDbQuery/File/90134/4133" TargetMode="External" /><Relationship Id="rId9" Type="http://schemas.openxmlformats.org/officeDocument/2006/relationships/hyperlink" Target="http://www.cbr.ru/statistics/reporting/st_dir-inv/info_2020-06-0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4A53-9D4B-4E97-8E94-79AACECF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777</Words>
  <Characters>5953</Characters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Часто задаваемые вопросы и ответы</vt:lpstr>
    </vt:vector>
  </TitlesOfParts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2015-04-21T06:31:00Z</cp:lastPrinted>
  <dcterms:created xsi:type="dcterms:W3CDTF">2026-01-19T15:27:00Z</dcterms:created>
  <dcterms:modified xsi:type="dcterms:W3CDTF">2026-01-20T15:18:00Z</dcterms:modified>
</cp:coreProperties>
</file>