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1F" w:rsidRDefault="00D6781F" w:rsidP="00D6781F">
      <w:pPr>
        <w:spacing w:after="0" w:line="240" w:lineRule="auto"/>
        <w:rPr>
          <w:rFonts w:ascii="Times New Roman" w:eastAsia="Times New Roman" w:hAnsi="Times New Roman" w:cs="Times New Roman"/>
          <w:b/>
          <w:color w:val="0070C0"/>
          <w:sz w:val="16"/>
          <w:szCs w:val="16"/>
          <w:lang w:eastAsia="ru-RU"/>
        </w:rPr>
      </w:pPr>
      <w:bookmarkStart w:id="0" w:name="_GoBack"/>
      <w:bookmarkEnd w:id="0"/>
      <w:r w:rsidRPr="00D6781F">
        <w:rPr>
          <w:rFonts w:ascii="Times New Roman" w:eastAsia="Times New Roman" w:hAnsi="Times New Roman" w:cs="Times New Roman"/>
          <w:b/>
          <w:color w:val="0070C0"/>
          <w:sz w:val="16"/>
          <w:szCs w:val="16"/>
          <w:lang w:eastAsia="ru-RU"/>
        </w:rPr>
        <w:t xml:space="preserve">Опубликовано на сайте ГК «АСВ» </w:t>
      </w:r>
      <w:r w:rsidRPr="00D6781F">
        <w:rPr>
          <w:rFonts w:ascii="Times New Roman" w:eastAsia="Times New Roman" w:hAnsi="Times New Roman" w:cs="Times New Roman"/>
          <w:b/>
          <w:color w:val="0070C0"/>
          <w:sz w:val="16"/>
          <w:szCs w:val="16"/>
          <w:lang w:eastAsia="ru-RU"/>
        </w:rPr>
        <w:t>23.04.2019</w:t>
      </w:r>
    </w:p>
    <w:p w:rsidR="00D6781F" w:rsidRPr="00D6781F" w:rsidRDefault="00D6781F" w:rsidP="00D6781F">
      <w:pPr>
        <w:spacing w:after="0" w:line="240" w:lineRule="auto"/>
        <w:rPr>
          <w:rFonts w:ascii="Times New Roman" w:eastAsia="Times New Roman" w:hAnsi="Times New Roman" w:cs="Times New Roman"/>
          <w:b/>
          <w:color w:val="0070C0"/>
          <w:sz w:val="16"/>
          <w:szCs w:val="16"/>
          <w:lang w:eastAsia="ru-RU"/>
        </w:rPr>
      </w:pPr>
    </w:p>
    <w:p w:rsidR="00D6781F" w:rsidRDefault="00D6781F" w:rsidP="00D6781F">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D6781F">
        <w:rPr>
          <w:rFonts w:ascii="Times New Roman" w:eastAsia="Times New Roman" w:hAnsi="Times New Roman" w:cs="Times New Roman"/>
          <w:b/>
          <w:bCs/>
          <w:color w:val="000000"/>
          <w:kern w:val="36"/>
          <w:sz w:val="28"/>
          <w:szCs w:val="28"/>
          <w:lang w:eastAsia="ru-RU"/>
        </w:rPr>
        <w:t xml:space="preserve">Сведения о ходе конкурсного производства в отношении </w:t>
      </w:r>
    </w:p>
    <w:p w:rsidR="00D6781F" w:rsidRPr="00D6781F" w:rsidRDefault="00D6781F" w:rsidP="00D6781F">
      <w:pPr>
        <w:spacing w:after="0" w:line="240" w:lineRule="auto"/>
        <w:jc w:val="center"/>
        <w:outlineLvl w:val="0"/>
        <w:rPr>
          <w:rFonts w:ascii="Times New Roman" w:eastAsia="Times New Roman" w:hAnsi="Times New Roman" w:cs="Times New Roman"/>
          <w:b/>
          <w:color w:val="000000"/>
          <w:sz w:val="28"/>
          <w:szCs w:val="28"/>
          <w:lang w:eastAsia="ru-RU"/>
        </w:rPr>
      </w:pPr>
      <w:r w:rsidRPr="00D6781F">
        <w:rPr>
          <w:rFonts w:ascii="Times New Roman" w:eastAsia="Times New Roman" w:hAnsi="Times New Roman" w:cs="Times New Roman"/>
          <w:b/>
          <w:color w:val="000000"/>
          <w:sz w:val="28"/>
          <w:szCs w:val="28"/>
          <w:lang w:eastAsia="ru-RU"/>
        </w:rPr>
        <w:t>Банк</w:t>
      </w:r>
      <w:r w:rsidRPr="00D6781F">
        <w:rPr>
          <w:rFonts w:ascii="Times New Roman" w:eastAsia="Times New Roman" w:hAnsi="Times New Roman" w:cs="Times New Roman"/>
          <w:b/>
          <w:color w:val="000000"/>
          <w:sz w:val="28"/>
          <w:szCs w:val="28"/>
          <w:lang w:eastAsia="ru-RU"/>
        </w:rPr>
        <w:t>а</w:t>
      </w:r>
      <w:r w:rsidRPr="00D6781F">
        <w:rPr>
          <w:rFonts w:ascii="Times New Roman" w:eastAsia="Times New Roman" w:hAnsi="Times New Roman" w:cs="Times New Roman"/>
          <w:b/>
          <w:color w:val="000000"/>
          <w:sz w:val="28"/>
          <w:szCs w:val="28"/>
          <w:lang w:eastAsia="ru-RU"/>
        </w:rPr>
        <w:t xml:space="preserve"> «Уссури» (АО)</w:t>
      </w:r>
    </w:p>
    <w:p w:rsidR="00D6781F" w:rsidRPr="00D6781F" w:rsidRDefault="00D6781F" w:rsidP="00D6781F">
      <w:pPr>
        <w:spacing w:after="0" w:line="240" w:lineRule="auto"/>
        <w:outlineLvl w:val="0"/>
        <w:rPr>
          <w:rFonts w:ascii="Times New Roman" w:eastAsia="Times New Roman" w:hAnsi="Times New Roman" w:cs="Times New Roman"/>
          <w:b/>
          <w:bCs/>
          <w:color w:val="000000"/>
          <w:kern w:val="36"/>
          <w:sz w:val="26"/>
          <w:szCs w:val="26"/>
          <w:lang w:eastAsia="ru-RU"/>
        </w:rPr>
      </w:pP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Решением Арбитражного суда Хабаровского края от 25 октября 2018 г. (резолютивная часть объявлена 18 октября 2018 г.) по делу № А73-9829/2018 Акционерное общество Банк «Уссури» (Банк «Уссури» (АО)) (далее – Банк), ОГРН 1022700002654, ИНН 2723010607, зарегистрированное по адресу: 680013, г. Хабаровск, ул. Карла Маркса, д. 96 А, признано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назначено на 17 октября 2019 г.</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Адреса для направления почтовой корреспонденции, в том числе требований кредиторов: 680013, г. Хабаровск, ул. Карла Маркса, д. 96 А, 127055, г. Москва, ул. Лесная, д. 59, стр. 2.</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 № 127-ФЗ «О несостоятельности (банкротстве)» (далее – Федеральный закон) Агентство публикует сведения о ходе конкурсного производства в отношении Банка. Последняя информация о ходе конкурсного производства включена в Единый федеральный реестр сведений о банкротстве (далее – ЕФРСБ) и размещена на сайте Агентства в сети Интернет 17 ноября 2018 г.</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В период с 5 марта по 28 июня 2019 г. конкурсным управляющим осуществляются расчеты с кредиторами первой очереди, требования которых включены в реестр требований кредиторов Банка, в размере 62,49 % суммы установленных требований. По состоянию на 1 апреля 2019 г. на выплаты указанным кредиторам направлены денежные средства в размере 2 941 604 тыс. руб., что составляет 62,42 % суммы установленных требований указанных кредиторов.</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Конкурсным управляющим Банком 18 января 2019 г. завершена инвентаризация имущества Банка по состоянию на дату открытия конкурсного производства (18 октября 2018 г.), в результате которой выявлена недостача имущества на сумму 125 613 тыс. руб. Также в ходе проведения инвентаризации выявлено имущество (оргтехника, банковское оборудование и мебель) в количестве 3 364 единицы, неучтенное на балансовых счетах Банка. Сообщение о результатах инвентаризации включено в ЕФРСБ и размещено на сайте агентства в сети Интернет 23 января 2019 г.</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В соответствии с требованиями Федерального закона конкурсным управляющим с привлечением независимого оценщика ООО «Профессиональный центр оценки и экспертиз» проведена оценка недвижимости и транспортных средств Банка по состоянию на 19 февраля 2019 г., по результатам которой рыночная стоимость объектов недвижимого имущества составила 141 200 тыс. руб., автотранспортных средств – 4 841 тыс. руб. Итоги оценки опубликованы в ЕФРСБ и на сайте Агентства в сети Интернет 2 апреля 2019 г.</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 xml:space="preserve">За период с 18 октября 2018 г. по 31 марта 2019 г. конкурсным управляющим по согласованию с комитетом кредиторов с балансовых счетов Банка списано невозможное ко взысканию и реализации имущество (дебиторская задолженность, </w:t>
      </w:r>
      <w:r w:rsidRPr="00D6781F">
        <w:rPr>
          <w:rFonts w:ascii="Times New Roman" w:eastAsia="Times New Roman" w:hAnsi="Times New Roman" w:cs="Times New Roman"/>
          <w:color w:val="000000"/>
          <w:sz w:val="26"/>
          <w:szCs w:val="26"/>
          <w:lang w:eastAsia="ru-RU"/>
        </w:rPr>
        <w:lastRenderedPageBreak/>
        <w:t>комиссия за расчетно-кассовое обслуживание) общей балансовой стоимостью 288 тыс. руб.</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В соответствии с утвержденным комитетом кредиторов Банка порядком конкурсным управляющим в период с 21 февраля по 6 мая 2019 г. осуществляется реализация имущества Банка балансовой стоимостью менее 100 тыс. руб. По состоянию на отчетную дату заявки на приобретение имущества не поступали.</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Конкурсным управляющим осуществляются мероприятия по взысканию ссудной задолженности с должников Банка в судебном порядке. По состоянию на 1 апреля 2019 г. в суды подано 1 389 исковых заявлений на сумму 1 238 767 тыс. руб., из которых удовлетворено 1 336 исковых заявлений на сумму 307 369 тыс. руб., по 1 исковому заявлению на сумму 175 тыс. руб. производство прекращено, на рассмотрении в судах находятся 52 исковых заявления на сумму 931 223 тыс. руб.</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На основании вступивших в законную силу судебных актов возбуждено 1 304 исполнительных производства на сумму 195 800 тыс. руб.</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Конкурсным управляющим проведена проверка деятельности Банка на предмет выявления сделок, имеющих в соответствии с требованиями Федерального закона признаки недействительности, по результатам которой по состоянию на 1 апреля 2019 г. в суд подано 1 заявление на сумму 8 328 тыс. руб., которое находится на рассмотрении.</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По состоянию на 1 апреля 2019 г. в результате исковой работы в конкурсную массу Банка поступили денежные средства в размере 8 497 тыс. руб.</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Конкурсным управляющим проводится проверка обстоятельств банкротства Банка, по результатам которой, в случае выявления соответствующих оснований, будут приняты меры по привлечению к ответственности лиц, виновных в банкротстве Банка.</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27 сентября 2018 г. СУ УМВД России по Хабаровскому краю, по результатам рассмотрения заявления временной администрации по управлению Банком по факту хищения имущества Банка путем заключений ряда заведомо невыгодных договоров уступки прав требования, а также реализации земельного участка и жилого дома по заниженной стоимости, имеющих признаки вывода активов, вынесено постановление об отказе в возбуждении уголовного дела по основанию, предусмотренному п. 2 ч. 1 ст. 24 УПК РФ, в связи с отсутствием в действиях бывшего Председателя Правления Банка состава преступления, предусмотренного ч. 2 ст. 201 УК РФ.</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11 октября 2018 г. СУ УМВД России по Хабаровскому краю, по результатам рассмотрения заявления временной администрации по управлению Банком по факту хищения имущества Банка, выявленного временной администрацией по управлению Банком по результатам проведения инвентаризации имущества Банка и заявления Центрального Банка России о выявленных операциях Банка, вынесены постановления об отказе в возбуждении уголовных дел по основанию, предусмотренному п. 12 ч. 1 ст. 24 УПК РФ в связи с отсутствием в событиях преступления, предусмотренного ч. 4 ст. 158 УК РФ.</w:t>
      </w:r>
    </w:p>
    <w:p w:rsidR="00D6781F" w:rsidRPr="00D6781F" w:rsidRDefault="00D6781F" w:rsidP="00D6781F">
      <w:pPr>
        <w:spacing w:after="0" w:line="240" w:lineRule="auto"/>
        <w:ind w:firstLine="709"/>
        <w:jc w:val="both"/>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color w:val="000000"/>
          <w:sz w:val="26"/>
          <w:szCs w:val="26"/>
          <w:lang w:eastAsia="ru-RU"/>
        </w:rPr>
        <w:t>В соответствии с требованиями Федерального закона Агентство публикует отчет об исполнении сметы текущих расходов и сведения о стоимости нереализованного имущества Банка.</w:t>
      </w:r>
    </w:p>
    <w:p w:rsidR="00D6781F" w:rsidRDefault="00D6781F" w:rsidP="00D6781F">
      <w:pPr>
        <w:spacing w:after="0" w:line="240" w:lineRule="auto"/>
        <w:jc w:val="center"/>
        <w:rPr>
          <w:rFonts w:ascii="Times New Roman" w:eastAsia="Times New Roman" w:hAnsi="Times New Roman" w:cs="Times New Roman"/>
          <w:b/>
          <w:bCs/>
          <w:color w:val="000000"/>
          <w:sz w:val="26"/>
          <w:szCs w:val="26"/>
          <w:lang w:eastAsia="ru-RU"/>
        </w:rPr>
      </w:pPr>
    </w:p>
    <w:p w:rsidR="00D6781F" w:rsidRDefault="00D6781F" w:rsidP="00D6781F">
      <w:pPr>
        <w:spacing w:after="0" w:line="240" w:lineRule="auto"/>
        <w:jc w:val="center"/>
        <w:rPr>
          <w:rFonts w:ascii="Times New Roman" w:eastAsia="Times New Roman" w:hAnsi="Times New Roman" w:cs="Times New Roman"/>
          <w:b/>
          <w:bCs/>
          <w:color w:val="000000"/>
          <w:sz w:val="26"/>
          <w:szCs w:val="26"/>
          <w:lang w:eastAsia="ru-RU"/>
        </w:rPr>
      </w:pPr>
    </w:p>
    <w:p w:rsidR="00D6781F" w:rsidRDefault="00D6781F" w:rsidP="00D6781F">
      <w:pPr>
        <w:spacing w:after="0" w:line="240" w:lineRule="auto"/>
        <w:jc w:val="center"/>
        <w:rPr>
          <w:rFonts w:ascii="Times New Roman" w:eastAsia="Times New Roman" w:hAnsi="Times New Roman" w:cs="Times New Roman"/>
          <w:b/>
          <w:bCs/>
          <w:color w:val="000000"/>
          <w:sz w:val="26"/>
          <w:szCs w:val="26"/>
          <w:lang w:eastAsia="ru-RU"/>
        </w:rPr>
      </w:pPr>
    </w:p>
    <w:p w:rsidR="00D6781F" w:rsidRDefault="00D6781F" w:rsidP="00D6781F">
      <w:pPr>
        <w:spacing w:after="0" w:line="240" w:lineRule="auto"/>
        <w:jc w:val="center"/>
        <w:rPr>
          <w:rFonts w:ascii="Times New Roman" w:eastAsia="Times New Roman" w:hAnsi="Times New Roman" w:cs="Times New Roman"/>
          <w:b/>
          <w:bCs/>
          <w:color w:val="000000"/>
          <w:sz w:val="26"/>
          <w:szCs w:val="26"/>
          <w:lang w:eastAsia="ru-RU"/>
        </w:rPr>
      </w:pPr>
    </w:p>
    <w:p w:rsidR="00D6781F" w:rsidRDefault="00D6781F" w:rsidP="00D6781F">
      <w:pPr>
        <w:spacing w:after="0" w:line="240" w:lineRule="auto"/>
        <w:jc w:val="center"/>
        <w:rPr>
          <w:rFonts w:ascii="Times New Roman" w:eastAsia="Times New Roman" w:hAnsi="Times New Roman" w:cs="Times New Roman"/>
          <w:b/>
          <w:bCs/>
          <w:color w:val="000000"/>
          <w:sz w:val="26"/>
          <w:szCs w:val="26"/>
          <w:lang w:eastAsia="ru-RU"/>
        </w:rPr>
      </w:pPr>
    </w:p>
    <w:p w:rsidR="00D6781F" w:rsidRPr="00D6781F" w:rsidRDefault="00D6781F" w:rsidP="00D6781F">
      <w:pPr>
        <w:spacing w:after="0" w:line="240" w:lineRule="auto"/>
        <w:jc w:val="center"/>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b/>
          <w:bCs/>
          <w:color w:val="000000"/>
          <w:sz w:val="26"/>
          <w:szCs w:val="26"/>
          <w:lang w:eastAsia="ru-RU"/>
        </w:rPr>
        <w:t>Отчет об исполнении сметы расходов (затрат) по проведению мероприятий конкурсного производства в отношении Банка «Уссури» (АО)</w:t>
      </w:r>
    </w:p>
    <w:p w:rsidR="00D6781F" w:rsidRPr="00D6781F" w:rsidRDefault="00D6781F" w:rsidP="00D6781F">
      <w:pPr>
        <w:spacing w:after="0" w:line="240" w:lineRule="auto"/>
        <w:jc w:val="center"/>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b/>
          <w:bCs/>
          <w:color w:val="000000"/>
          <w:sz w:val="26"/>
          <w:szCs w:val="26"/>
          <w:lang w:eastAsia="ru-RU"/>
        </w:rPr>
        <w:t>за период с 18 октября 2018 г. по 31 марта 2019 г.</w:t>
      </w:r>
    </w:p>
    <w:p w:rsidR="00D6781F" w:rsidRPr="00D6781F" w:rsidRDefault="00D6781F" w:rsidP="00D6781F">
      <w:pPr>
        <w:spacing w:after="0" w:line="240" w:lineRule="auto"/>
        <w:jc w:val="right"/>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97"/>
        <w:gridCol w:w="5015"/>
        <w:gridCol w:w="1122"/>
        <w:gridCol w:w="1122"/>
        <w:gridCol w:w="1659"/>
      </w:tblGrid>
      <w:tr w:rsidR="00D6781F" w:rsidRPr="00D6781F" w:rsidTr="00D6781F">
        <w:trPr>
          <w:trHeight w:val="299"/>
          <w:tblCellSpacing w:w="20" w:type="dxa"/>
        </w:trPr>
        <w:tc>
          <w:tcPr>
            <w:tcW w:w="331" w:type="pct"/>
            <w:vMerge w:val="restar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 п/п</w:t>
            </w:r>
          </w:p>
        </w:tc>
        <w:tc>
          <w:tcPr>
            <w:tcW w:w="2587" w:type="pct"/>
            <w:vMerge w:val="restar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Перечень расходов и затрат</w:t>
            </w:r>
          </w:p>
        </w:tc>
        <w:tc>
          <w:tcPr>
            <w:tcW w:w="563" w:type="pct"/>
            <w:vMerge w:val="restar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План</w:t>
            </w:r>
          </w:p>
        </w:tc>
        <w:tc>
          <w:tcPr>
            <w:tcW w:w="563" w:type="pct"/>
            <w:vMerge w:val="restar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Факт</w:t>
            </w:r>
          </w:p>
        </w:tc>
        <w:tc>
          <w:tcPr>
            <w:tcW w:w="832" w:type="pct"/>
            <w:vMerge w:val="restar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Экономия (+)/ перерасход (-)</w:t>
            </w:r>
          </w:p>
        </w:tc>
      </w:tr>
      <w:tr w:rsidR="00D6781F" w:rsidRPr="00D6781F" w:rsidTr="00D6781F">
        <w:trPr>
          <w:trHeight w:val="299"/>
          <w:tblCellSpacing w:w="20" w:type="dxa"/>
        </w:trPr>
        <w:tc>
          <w:tcPr>
            <w:tcW w:w="331" w:type="pct"/>
            <w:vMerge/>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c>
          <w:tcPr>
            <w:tcW w:w="2587" w:type="pct"/>
            <w:vMerge/>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c>
          <w:tcPr>
            <w:tcW w:w="563" w:type="pct"/>
            <w:vMerge/>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c>
          <w:tcPr>
            <w:tcW w:w="563" w:type="pct"/>
            <w:vMerge/>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c>
          <w:tcPr>
            <w:tcW w:w="832" w:type="pct"/>
            <w:vMerge/>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r>
      <w:tr w:rsidR="00D6781F" w:rsidRPr="00D6781F" w:rsidTr="00D6781F">
        <w:trPr>
          <w:tblCellSpacing w:w="20" w:type="dxa"/>
        </w:trPr>
        <w:tc>
          <w:tcPr>
            <w:tcW w:w="331"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1</w:t>
            </w:r>
          </w:p>
        </w:tc>
        <w:tc>
          <w:tcPr>
            <w:tcW w:w="2587" w:type="pct"/>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Административно-хозяйственные расходы</w:t>
            </w:r>
          </w:p>
        </w:tc>
        <w:tc>
          <w:tcPr>
            <w:tcW w:w="563"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70 980</w:t>
            </w:r>
          </w:p>
        </w:tc>
        <w:tc>
          <w:tcPr>
            <w:tcW w:w="563"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26 706</w:t>
            </w:r>
          </w:p>
        </w:tc>
        <w:tc>
          <w:tcPr>
            <w:tcW w:w="832"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+44 274</w:t>
            </w:r>
          </w:p>
        </w:tc>
      </w:tr>
      <w:tr w:rsidR="00D6781F" w:rsidRPr="00D6781F" w:rsidTr="00D6781F">
        <w:trPr>
          <w:tblCellSpacing w:w="20" w:type="dxa"/>
        </w:trPr>
        <w:tc>
          <w:tcPr>
            <w:tcW w:w="331"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2</w:t>
            </w:r>
          </w:p>
        </w:tc>
        <w:tc>
          <w:tcPr>
            <w:tcW w:w="2587" w:type="pct"/>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Расходы на содержание аппарата</w:t>
            </w:r>
          </w:p>
        </w:tc>
        <w:tc>
          <w:tcPr>
            <w:tcW w:w="563"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36 523</w:t>
            </w:r>
          </w:p>
        </w:tc>
        <w:tc>
          <w:tcPr>
            <w:tcW w:w="563"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16 203</w:t>
            </w:r>
          </w:p>
        </w:tc>
        <w:tc>
          <w:tcPr>
            <w:tcW w:w="832"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+20 320</w:t>
            </w:r>
          </w:p>
        </w:tc>
      </w:tr>
      <w:tr w:rsidR="00D6781F" w:rsidRPr="00D6781F" w:rsidTr="00D6781F">
        <w:trPr>
          <w:tblCellSpacing w:w="20" w:type="dxa"/>
        </w:trPr>
        <w:tc>
          <w:tcPr>
            <w:tcW w:w="331"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c>
          <w:tcPr>
            <w:tcW w:w="2587" w:type="pct"/>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Итого</w:t>
            </w:r>
          </w:p>
        </w:tc>
        <w:tc>
          <w:tcPr>
            <w:tcW w:w="563"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107 503</w:t>
            </w:r>
          </w:p>
        </w:tc>
        <w:tc>
          <w:tcPr>
            <w:tcW w:w="563"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42 909</w:t>
            </w:r>
          </w:p>
        </w:tc>
        <w:tc>
          <w:tcPr>
            <w:tcW w:w="832" w:type="pc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+64 594*</w:t>
            </w:r>
          </w:p>
        </w:tc>
      </w:tr>
    </w:tbl>
    <w:p w:rsidR="00D6781F" w:rsidRPr="00D6781F" w:rsidRDefault="00D6781F" w:rsidP="00D6781F">
      <w:pPr>
        <w:spacing w:after="0" w:line="240" w:lineRule="auto"/>
        <w:jc w:val="both"/>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 Экономия обусловлена переносом планируемых расходов, непроизведенных в период действия смет, в сметы следующего квартала, по причине несвоевременного предоставления контрагентами первичных документов, подтверждающих факт оказания услуг.</w:t>
      </w:r>
    </w:p>
    <w:p w:rsidR="00D6781F" w:rsidRPr="00D6781F" w:rsidRDefault="00D6781F" w:rsidP="00D6781F">
      <w:pPr>
        <w:spacing w:after="0" w:line="240" w:lineRule="auto"/>
        <w:jc w:val="both"/>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Примечание: сведения представляются нарастающим итогом с даты открытия конкурсного производства на отчетную дату.</w:t>
      </w:r>
    </w:p>
    <w:p w:rsidR="00D6781F" w:rsidRDefault="00D6781F" w:rsidP="00D6781F">
      <w:pPr>
        <w:spacing w:after="0" w:line="240" w:lineRule="auto"/>
        <w:jc w:val="center"/>
        <w:rPr>
          <w:rFonts w:ascii="Times New Roman" w:eastAsia="Times New Roman" w:hAnsi="Times New Roman" w:cs="Times New Roman"/>
          <w:b/>
          <w:bCs/>
          <w:color w:val="000000"/>
          <w:sz w:val="26"/>
          <w:szCs w:val="26"/>
          <w:lang w:eastAsia="ru-RU"/>
        </w:rPr>
      </w:pPr>
    </w:p>
    <w:p w:rsidR="00D6781F" w:rsidRPr="00D6781F" w:rsidRDefault="00D6781F" w:rsidP="00D6781F">
      <w:pPr>
        <w:spacing w:after="0" w:line="240" w:lineRule="auto"/>
        <w:jc w:val="center"/>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b/>
          <w:bCs/>
          <w:color w:val="000000"/>
          <w:sz w:val="26"/>
          <w:szCs w:val="26"/>
          <w:lang w:eastAsia="ru-RU"/>
        </w:rPr>
        <w:t>Сведения о стоимости нереализованного имущества</w:t>
      </w:r>
    </w:p>
    <w:p w:rsidR="00D6781F" w:rsidRPr="00D6781F" w:rsidRDefault="00D6781F" w:rsidP="00D6781F">
      <w:pPr>
        <w:spacing w:after="0" w:line="240" w:lineRule="auto"/>
        <w:jc w:val="center"/>
        <w:rPr>
          <w:rFonts w:ascii="Times New Roman" w:eastAsia="Times New Roman" w:hAnsi="Times New Roman" w:cs="Times New Roman"/>
          <w:color w:val="000000"/>
          <w:sz w:val="26"/>
          <w:szCs w:val="26"/>
          <w:lang w:eastAsia="ru-RU"/>
        </w:rPr>
      </w:pPr>
      <w:r w:rsidRPr="00D6781F">
        <w:rPr>
          <w:rFonts w:ascii="Times New Roman" w:eastAsia="Times New Roman" w:hAnsi="Times New Roman" w:cs="Times New Roman"/>
          <w:b/>
          <w:bCs/>
          <w:color w:val="000000"/>
          <w:sz w:val="26"/>
          <w:szCs w:val="26"/>
          <w:lang w:eastAsia="ru-RU"/>
        </w:rPr>
        <w:t>Банка «Уссури» (АО) по состоянию на 1 апреля 2019 г.</w:t>
      </w:r>
    </w:p>
    <w:p w:rsidR="00D6781F" w:rsidRPr="00D6781F" w:rsidRDefault="00D6781F" w:rsidP="00D6781F">
      <w:pPr>
        <w:spacing w:after="0" w:line="240" w:lineRule="auto"/>
        <w:jc w:val="right"/>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86"/>
        <w:gridCol w:w="4020"/>
        <w:gridCol w:w="2301"/>
        <w:gridCol w:w="2508"/>
      </w:tblGrid>
      <w:tr w:rsidR="00D6781F" w:rsidRPr="00D6781F" w:rsidTr="00D6781F">
        <w:trPr>
          <w:tblCellSpacing w:w="20" w:type="dxa"/>
        </w:trPr>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 п/п</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Наименование имущества (дебитора)</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Балансовая стоимость</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Оценочная стоимость</w:t>
            </w:r>
          </w:p>
        </w:tc>
      </w:tr>
      <w:tr w:rsidR="00D6781F" w:rsidRPr="00D6781F" w:rsidTr="00D6781F">
        <w:trPr>
          <w:tblCellSpacing w:w="20" w:type="dxa"/>
        </w:trPr>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1</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Кредиты предприятиям и организациям</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2 040 175</w:t>
            </w:r>
          </w:p>
        </w:tc>
        <w:tc>
          <w:tcPr>
            <w:tcW w:w="0" w:type="auto"/>
            <w:vMerge w:val="restart"/>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Оценка не проводилась**</w:t>
            </w:r>
          </w:p>
        </w:tc>
      </w:tr>
      <w:tr w:rsidR="00D6781F" w:rsidRPr="00D6781F" w:rsidTr="00D6781F">
        <w:trPr>
          <w:tblCellSpacing w:w="20" w:type="dxa"/>
        </w:trPr>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2</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Кредиты физическим лицам</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610 782</w:t>
            </w:r>
          </w:p>
        </w:tc>
        <w:tc>
          <w:tcPr>
            <w:tcW w:w="0" w:type="auto"/>
            <w:vMerge/>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r>
      <w:tr w:rsidR="00D6781F" w:rsidRPr="00D6781F" w:rsidTr="00D6781F">
        <w:trPr>
          <w:tblCellSpacing w:w="20" w:type="dxa"/>
        </w:trPr>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3</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Ценные бумаги</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22 572</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Оценка не проводилась**</w:t>
            </w:r>
          </w:p>
        </w:tc>
      </w:tr>
      <w:tr w:rsidR="00D6781F" w:rsidRPr="00D6781F" w:rsidTr="00D6781F">
        <w:trPr>
          <w:tblCellSpacing w:w="20" w:type="dxa"/>
        </w:trPr>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4</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Основные средства и хозяйственные затраты</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229 557</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146 041</w:t>
            </w:r>
          </w:p>
        </w:tc>
      </w:tr>
      <w:tr w:rsidR="00D6781F" w:rsidRPr="00D6781F" w:rsidTr="00D6781F">
        <w:trPr>
          <w:tblCellSpacing w:w="20" w:type="dxa"/>
        </w:trPr>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5</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Прочие активы</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52 982</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Оценка не проводилась**</w:t>
            </w:r>
          </w:p>
        </w:tc>
      </w:tr>
      <w:tr w:rsidR="00D6781F" w:rsidRPr="00D6781F" w:rsidTr="00D6781F">
        <w:trPr>
          <w:tblCellSpacing w:w="20" w:type="dxa"/>
        </w:trPr>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Итого</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2 956 068</w:t>
            </w:r>
          </w:p>
        </w:tc>
        <w:tc>
          <w:tcPr>
            <w:tcW w:w="0" w:type="auto"/>
            <w:tcMar>
              <w:top w:w="75" w:type="dxa"/>
              <w:left w:w="75" w:type="dxa"/>
              <w:bottom w:w="75" w:type="dxa"/>
              <w:right w:w="75" w:type="dxa"/>
            </w:tcMar>
            <w:vAlign w:val="center"/>
            <w:hideMark/>
          </w:tcPr>
          <w:p w:rsidR="00D6781F" w:rsidRPr="00D6781F" w:rsidRDefault="00D6781F" w:rsidP="00D6781F">
            <w:pPr>
              <w:spacing w:after="0" w:line="240" w:lineRule="auto"/>
              <w:jc w:val="center"/>
              <w:rPr>
                <w:rFonts w:ascii="Times New Roman" w:eastAsia="Times New Roman" w:hAnsi="Times New Roman" w:cs="Times New Roman"/>
                <w:color w:val="000000"/>
                <w:lang w:eastAsia="ru-RU"/>
              </w:rPr>
            </w:pPr>
            <w:r w:rsidRPr="00D6781F">
              <w:rPr>
                <w:rFonts w:ascii="Times New Roman" w:eastAsia="Times New Roman" w:hAnsi="Times New Roman" w:cs="Times New Roman"/>
                <w:b/>
                <w:bCs/>
                <w:color w:val="000000"/>
                <w:lang w:eastAsia="ru-RU"/>
              </w:rPr>
              <w:t>146 041</w:t>
            </w:r>
          </w:p>
        </w:tc>
      </w:tr>
    </w:tbl>
    <w:p w:rsidR="00D6781F" w:rsidRPr="00D6781F" w:rsidRDefault="00D6781F" w:rsidP="00D6781F">
      <w:pPr>
        <w:spacing w:after="0" w:line="240" w:lineRule="auto"/>
        <w:jc w:val="both"/>
        <w:rPr>
          <w:rFonts w:ascii="Times New Roman" w:eastAsia="Times New Roman" w:hAnsi="Times New Roman" w:cs="Times New Roman"/>
          <w:color w:val="000000"/>
          <w:lang w:eastAsia="ru-RU"/>
        </w:rPr>
      </w:pPr>
      <w:r w:rsidRPr="00D6781F">
        <w:rPr>
          <w:rFonts w:ascii="Times New Roman" w:eastAsia="Times New Roman" w:hAnsi="Times New Roman" w:cs="Times New Roman"/>
          <w:color w:val="000000"/>
          <w:lang w:eastAsia="ru-RU"/>
        </w:rPr>
        <w:t>** Оценка проводилась в отношении недвижимого имущества и транспортных средств</w:t>
      </w:r>
    </w:p>
    <w:p w:rsidR="00DC6863" w:rsidRPr="00D6781F" w:rsidRDefault="00DC6863" w:rsidP="00D6781F">
      <w:pPr>
        <w:spacing w:after="0" w:line="240" w:lineRule="auto"/>
        <w:rPr>
          <w:rFonts w:ascii="Times New Roman" w:hAnsi="Times New Roman" w:cs="Times New Roman"/>
          <w:sz w:val="26"/>
          <w:szCs w:val="26"/>
        </w:rPr>
      </w:pPr>
    </w:p>
    <w:sectPr w:rsidR="00DC6863" w:rsidRPr="00D6781F" w:rsidSect="00D6781F">
      <w:footerReference w:type="default" r:id="rId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8D" w:rsidRDefault="00F1308D" w:rsidP="00D6781F">
      <w:pPr>
        <w:spacing w:after="0" w:line="240" w:lineRule="auto"/>
      </w:pPr>
      <w:r>
        <w:separator/>
      </w:r>
    </w:p>
  </w:endnote>
  <w:endnote w:type="continuationSeparator" w:id="0">
    <w:p w:rsidR="00F1308D" w:rsidRDefault="00F1308D" w:rsidP="00D6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497610"/>
      <w:docPartObj>
        <w:docPartGallery w:val="Page Numbers (Bottom of Page)"/>
        <w:docPartUnique/>
      </w:docPartObj>
    </w:sdtPr>
    <w:sdtContent>
      <w:p w:rsidR="00D6781F" w:rsidRDefault="00D6781F">
        <w:pPr>
          <w:pStyle w:val="a6"/>
          <w:jc w:val="right"/>
        </w:pPr>
        <w:r>
          <w:fldChar w:fldCharType="begin"/>
        </w:r>
        <w:r>
          <w:instrText>PAGE   \* MERGEFORMAT</w:instrText>
        </w:r>
        <w:r>
          <w:fldChar w:fldCharType="separate"/>
        </w:r>
        <w:r w:rsidR="00CC02FC">
          <w:rPr>
            <w:noProof/>
          </w:rPr>
          <w:t>2</w:t>
        </w:r>
        <w:r>
          <w:fldChar w:fldCharType="end"/>
        </w:r>
      </w:p>
    </w:sdtContent>
  </w:sdt>
  <w:p w:rsidR="00D6781F" w:rsidRDefault="00D678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8D" w:rsidRDefault="00F1308D" w:rsidP="00D6781F">
      <w:pPr>
        <w:spacing w:after="0" w:line="240" w:lineRule="auto"/>
      </w:pPr>
      <w:r>
        <w:separator/>
      </w:r>
    </w:p>
  </w:footnote>
  <w:footnote w:type="continuationSeparator" w:id="0">
    <w:p w:rsidR="00F1308D" w:rsidRDefault="00F1308D" w:rsidP="00D678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1F"/>
    <w:rsid w:val="00CC02FC"/>
    <w:rsid w:val="00D6781F"/>
    <w:rsid w:val="00DC6863"/>
    <w:rsid w:val="00F13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781F"/>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81F"/>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D67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D6781F"/>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D678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781F"/>
  </w:style>
  <w:style w:type="paragraph" w:styleId="a6">
    <w:name w:val="footer"/>
    <w:basedOn w:val="a"/>
    <w:link w:val="a7"/>
    <w:uiPriority w:val="99"/>
    <w:unhideWhenUsed/>
    <w:rsid w:val="00D678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7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781F"/>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81F"/>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D67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D6781F"/>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D678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781F"/>
  </w:style>
  <w:style w:type="paragraph" w:styleId="a6">
    <w:name w:val="footer"/>
    <w:basedOn w:val="a"/>
    <w:link w:val="a7"/>
    <w:uiPriority w:val="99"/>
    <w:unhideWhenUsed/>
    <w:rsid w:val="00D678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53381">
      <w:bodyDiv w:val="1"/>
      <w:marLeft w:val="0"/>
      <w:marRight w:val="0"/>
      <w:marTop w:val="0"/>
      <w:marBottom w:val="0"/>
      <w:divBdr>
        <w:top w:val="none" w:sz="0" w:space="0" w:color="auto"/>
        <w:left w:val="none" w:sz="0" w:space="0" w:color="auto"/>
        <w:bottom w:val="none" w:sz="0" w:space="0" w:color="auto"/>
        <w:right w:val="none" w:sz="0" w:space="0" w:color="auto"/>
      </w:divBdr>
      <w:divsChild>
        <w:div w:id="1724868074">
          <w:marLeft w:val="0"/>
          <w:marRight w:val="0"/>
          <w:marTop w:val="0"/>
          <w:marBottom w:val="0"/>
          <w:divBdr>
            <w:top w:val="none" w:sz="0" w:space="0" w:color="auto"/>
            <w:left w:val="none" w:sz="0" w:space="0" w:color="auto"/>
            <w:bottom w:val="none" w:sz="0" w:space="0" w:color="auto"/>
            <w:right w:val="none" w:sz="0" w:space="0" w:color="auto"/>
          </w:divBdr>
          <w:divsChild>
            <w:div w:id="1683509710">
              <w:marLeft w:val="0"/>
              <w:marRight w:val="0"/>
              <w:marTop w:val="0"/>
              <w:marBottom w:val="0"/>
              <w:divBdr>
                <w:top w:val="single" w:sz="24" w:space="8" w:color="486BAD"/>
                <w:left w:val="single" w:sz="24" w:space="8" w:color="486BAD"/>
                <w:bottom w:val="single" w:sz="24" w:space="0" w:color="486BAD"/>
                <w:right w:val="single" w:sz="24" w:space="8" w:color="486BAD"/>
              </w:divBdr>
              <w:divsChild>
                <w:div w:id="1569148362">
                  <w:marLeft w:val="1"/>
                  <w:marRight w:val="1"/>
                  <w:marTop w:val="0"/>
                  <w:marBottom w:val="750"/>
                  <w:divBdr>
                    <w:top w:val="none" w:sz="0" w:space="0" w:color="auto"/>
                    <w:left w:val="none" w:sz="0" w:space="0" w:color="auto"/>
                    <w:bottom w:val="none" w:sz="0" w:space="0" w:color="auto"/>
                    <w:right w:val="none" w:sz="0" w:space="0" w:color="auto"/>
                  </w:divBdr>
                  <w:divsChild>
                    <w:div w:id="4197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2</cp:revision>
  <dcterms:created xsi:type="dcterms:W3CDTF">2019-04-24T10:42:00Z</dcterms:created>
  <dcterms:modified xsi:type="dcterms:W3CDTF">2019-04-24T10:42:00Z</dcterms:modified>
</cp:coreProperties>
</file>