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E850C7" w:rsidP="0029406B" w14:paraId="76299179" w14:textId="13CC809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A3B31" w:rsidRPr="009704FE" w:rsidP="0029406B" w14:paraId="33BED288" w14:textId="7777777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704FE" w:rsidRPr="0029406B" w:rsidP="009704FE" w14:paraId="3A9F83BF" w14:textId="53AB8C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06B">
        <w:rPr>
          <w:rFonts w:ascii="Times New Roman" w:hAnsi="Times New Roman" w:cs="Times New Roman"/>
          <w:b/>
          <w:sz w:val="28"/>
          <w:szCs w:val="28"/>
        </w:rPr>
        <w:t>Процедура перевода прав требования по кредитным договорам между пулами обеспечения</w:t>
      </w:r>
      <w:r w:rsidR="00C13DE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57D9">
        <w:rPr>
          <w:rFonts w:ascii="Times New Roman" w:hAnsi="Times New Roman" w:cs="Times New Roman"/>
          <w:b/>
          <w:sz w:val="28"/>
          <w:szCs w:val="28"/>
        </w:rPr>
        <w:t>период действия с 4 мая</w:t>
      </w:r>
      <w:r w:rsidR="00C13DED">
        <w:rPr>
          <w:rFonts w:ascii="Times New Roman" w:hAnsi="Times New Roman" w:cs="Times New Roman"/>
          <w:b/>
          <w:sz w:val="28"/>
          <w:szCs w:val="28"/>
        </w:rPr>
        <w:t xml:space="preserve"> 2026 года)</w:t>
      </w:r>
    </w:p>
    <w:p w:rsidR="009704FE" w:rsidRPr="009704FE" w:rsidP="0029406B" w14:paraId="148E1626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4FE" w:rsidP="0029406B" w14:paraId="29F46887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осуществляет перевод прав требования по кредитным договорам (далее – нерыночные активы) между пулами обеспечения по кредитам Банка России, сформированным</w:t>
      </w:r>
      <w:r w:rsidR="004C27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>Условия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>ми</w:t>
        </w:r>
      </w:hyperlink>
      <w:r w:rsidRPr="009704FE">
        <w:rPr>
          <w:rFonts w:ascii="Times New Roman" w:hAnsi="Times New Roman" w:cs="Times New Roman"/>
          <w:sz w:val="28"/>
          <w:szCs w:val="28"/>
        </w:rPr>
        <w:t xml:space="preserve"> проведения операций по предоставлению и погашению кредитов Банка России, обеспеченных ценными бумагами или правами требования по кредитным договорам</w:t>
      </w:r>
      <w:r>
        <w:rPr>
          <w:rFonts w:ascii="Times New Roman" w:hAnsi="Times New Roman" w:cs="Times New Roman"/>
          <w:sz w:val="28"/>
          <w:szCs w:val="28"/>
        </w:rPr>
        <w:t xml:space="preserve"> (далее – Условия).</w:t>
      </w:r>
    </w:p>
    <w:p w:rsidR="00C13DED" w:rsidP="0029406B" w14:paraId="205AC9C7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России и кредитная организация направляют друг другу документы </w:t>
      </w:r>
      <w:r w:rsidR="002F1E15">
        <w:rPr>
          <w:rFonts w:ascii="Times New Roman" w:hAnsi="Times New Roman" w:cs="Times New Roman"/>
          <w:sz w:val="28"/>
          <w:szCs w:val="28"/>
        </w:rPr>
        <w:t xml:space="preserve">в рамках настоящей процедуры </w:t>
      </w:r>
      <w:r w:rsidR="00AE5B7F">
        <w:rPr>
          <w:rFonts w:ascii="Times New Roman" w:hAnsi="Times New Roman" w:cs="Times New Roman"/>
          <w:sz w:val="28"/>
          <w:szCs w:val="28"/>
        </w:rPr>
        <w:t xml:space="preserve">с </w:t>
      </w:r>
      <w:r w:rsidR="00C7496E">
        <w:rPr>
          <w:rFonts w:ascii="Times New Roman" w:hAnsi="Times New Roman" w:cs="Times New Roman"/>
          <w:sz w:val="28"/>
          <w:szCs w:val="28"/>
        </w:rPr>
        <w:t>соблюдением</w:t>
      </w:r>
      <w:r w:rsidR="009321C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C7496E">
        <w:rPr>
          <w:rFonts w:ascii="Times New Roman" w:hAnsi="Times New Roman" w:cs="Times New Roman"/>
          <w:sz w:val="28"/>
          <w:szCs w:val="28"/>
        </w:rPr>
        <w:t>й</w:t>
      </w:r>
      <w:r w:rsidR="009321C6">
        <w:rPr>
          <w:rFonts w:ascii="Times New Roman" w:hAnsi="Times New Roman" w:cs="Times New Roman"/>
          <w:sz w:val="28"/>
          <w:szCs w:val="28"/>
        </w:rPr>
        <w:t xml:space="preserve"> главы 2 Условий.</w:t>
      </w:r>
    </w:p>
    <w:p w:rsidR="0029406B" w:rsidRPr="0029406B" w:rsidP="0029406B" w14:paraId="55FB9CC0" w14:textId="39726DC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ерыночные активы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переводятся между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7B4D"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</w:t>
      </w:r>
      <w:r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007B4D" w:rsidR="00007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кредитов Банка России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Условиями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поступившего от кредитной организации ходатайства о переводе нерыночных активов между пулами обеспечения (далее – ходатайство) при выполнении следующих требований:</w:t>
      </w:r>
    </w:p>
    <w:p w:rsidR="0029406B" w:rsidRPr="0029406B" w:rsidP="0029406B" w14:paraId="30B95A34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Нерыночные активы переводятся между пулами обеспечения, сопровождение которых осуществляется одним подразделением по работе с нерыночными активами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06B" w:rsidP="0029406B" w14:paraId="51C6384F" w14:textId="37ADEEC1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Перевод нерыночных активов может быть осуществлен на основании ходатайства, направляемого в рамках реорганизации кредитной организации в форме присоединения</w:t>
      </w:r>
      <w:r w:rsidR="00D23B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результате которой присоединяемая кредитная организация прекращает свою деятельность</w:t>
      </w:r>
      <w:r w:rsidR="00D23B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реорганизуемая кредитная организация).</w:t>
      </w:r>
    </w:p>
    <w:p w:rsidR="0029406B" w:rsidRPr="0029406B" w:rsidP="0029406B" w14:paraId="3C6B0A1D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Ходатайство содержит просьбу о переводе всех нерыночных активов, включенных в пул обеспечения реорганизуемой кредитной организации (далее – исходный пул обеспечения), в пул обеспечения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 организации, являющейся правопреемником реорганизуемой кредитной организации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новый пул обеспечения)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134" w:rsidP="0029406B" w14:paraId="716FC516" w14:textId="696F0F9C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Включение нерыночных активов, отобранных в залог по кредиту Банка России из исходного пула обеспечения, в 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 обеспечения не осуществляется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288" w:rsidP="0029406B" w14:paraId="67E8D2ED" w14:textId="04B0AFCA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нерыночных активов между пулами обеспечения кредитных организаций осуществляется не ранее завершающего сеанса платежной системы Банка России</w:t>
      </w:r>
      <w:r w:rsidR="003F18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приходящегося на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F18A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30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Банком России 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кредитную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D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537D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согласии на перевод нерыночных активов между пулами обеспечения (далее – уведомление о согласии на перевод)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288" w:rsidP="0029406B" w14:paraId="69F0CAB3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406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нерыночных активов, включаемых в пул обеспечения кредитной организации, являющейся правопреемником реорганизуемой кредитной организации, сохраняется их отнесение к основному или дополнительному механизму предоставления ликвидности на дату включения данных нерыночных активов в соответствующий пул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134" w:rsidP="0029406B" w14:paraId="559D37DA" w14:textId="77777777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13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должно быть направлено не позднее чем за два рабочих дня до даты</w:t>
      </w:r>
      <w:r w:rsidRPr="0029406B"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планируется прекращение деятельности реорганизуемой кредитной организации</w:t>
      </w:r>
      <w:r w:rsidR="006A1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D98" w:rsidRPr="009704FE" w:rsidP="004D6D98" w14:paraId="0B748595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04FE">
        <w:rPr>
          <w:rFonts w:ascii="Times New Roman" w:hAnsi="Times New Roman" w:cs="Times New Roman"/>
          <w:sz w:val="28"/>
          <w:szCs w:val="28"/>
        </w:rPr>
        <w:t xml:space="preserve">Если ходатайство направляется на бумажном носителе, оно составляется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 xml:space="preserve"> к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</w:t>
      </w:r>
      <w:r w:rsidRPr="009704FE">
        <w:rPr>
          <w:rFonts w:ascii="Times New Roman" w:hAnsi="Times New Roman" w:cs="Times New Roman"/>
          <w:sz w:val="28"/>
          <w:szCs w:val="28"/>
        </w:rPr>
        <w:t>.</w:t>
      </w:r>
    </w:p>
    <w:p w:rsidR="000E1821" w:rsidP="0029406B" w14:paraId="10356160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ходатайство направляется в электронном виде, то оно составляется в виде электронного сообщения (далее – ЭС)</w:t>
      </w:r>
      <w:r w:rsidR="007A3EA4">
        <w:rPr>
          <w:rFonts w:ascii="Times New Roman" w:hAnsi="Times New Roman" w:cs="Times New Roman"/>
          <w:sz w:val="28"/>
          <w:szCs w:val="28"/>
        </w:rPr>
        <w:t xml:space="preserve"> С110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321C6" w:rsidR="009321C6">
          <w:rPr>
            <w:rStyle w:val="Hyperlink"/>
            <w:rFonts w:ascii="Times New Roman" w:hAnsi="Times New Roman" w:cs="Times New Roman"/>
            <w:sz w:val="28"/>
            <w:szCs w:val="28"/>
          </w:rPr>
          <w:t>А</w:t>
        </w:r>
        <w:r w:rsidRPr="009321C6" w:rsidR="009321C6">
          <w:rPr>
            <w:rStyle w:val="Hyperlink"/>
            <w:rFonts w:ascii="Times New Roman" w:hAnsi="Times New Roman" w:cs="Times New Roman"/>
            <w:sz w:val="28"/>
            <w:szCs w:val="28"/>
          </w:rPr>
          <w:t>л</w:t>
        </w:r>
        <w:r w:rsidRPr="009321C6" w:rsidR="009321C6">
          <w:rPr>
            <w:rStyle w:val="Hyperlink"/>
            <w:rFonts w:ascii="Times New Roman" w:hAnsi="Times New Roman" w:cs="Times New Roman"/>
            <w:sz w:val="28"/>
            <w:szCs w:val="28"/>
          </w:rPr>
          <w:t>ьбомом</w:t>
        </w:r>
        <w:r w:rsidRPr="009321C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УФЭБС ЭДО Активы</w:t>
        </w:r>
      </w:hyperlink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="004D6D98">
        <w:rPr>
          <w:rFonts w:ascii="Times New Roman" w:hAnsi="Times New Roman" w:cs="Times New Roman"/>
          <w:sz w:val="28"/>
          <w:szCs w:val="28"/>
        </w:rPr>
        <w:t xml:space="preserve"> (далее – Альбом)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521" w:rsidP="00885521" w14:paraId="6AE554D9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85521">
        <w:rPr>
          <w:rFonts w:ascii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5521">
        <w:rPr>
          <w:rFonts w:ascii="Times New Roman" w:hAnsi="Times New Roman" w:cs="Times New Roman"/>
          <w:sz w:val="28"/>
          <w:szCs w:val="28"/>
        </w:rPr>
        <w:t xml:space="preserve"> кредитная организация указывает </w:t>
      </w:r>
      <w:r w:rsidR="00081120">
        <w:rPr>
          <w:rFonts w:ascii="Times New Roman" w:hAnsi="Times New Roman" w:cs="Times New Roman"/>
          <w:sz w:val="28"/>
          <w:szCs w:val="28"/>
        </w:rPr>
        <w:t xml:space="preserve">его </w:t>
      </w:r>
      <w:r w:rsidRPr="00885521">
        <w:rPr>
          <w:rFonts w:ascii="Times New Roman" w:hAnsi="Times New Roman" w:cs="Times New Roman"/>
          <w:sz w:val="28"/>
          <w:szCs w:val="28"/>
        </w:rPr>
        <w:t xml:space="preserve">тип (перевод в рамках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885521">
        <w:rPr>
          <w:rFonts w:ascii="Times New Roman" w:hAnsi="Times New Roman" w:cs="Times New Roman"/>
          <w:sz w:val="28"/>
          <w:szCs w:val="28"/>
        </w:rPr>
        <w:t>перевод в рамках одной кредитной организации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 w:rsidRPr="00885521">
        <w:rPr>
          <w:rFonts w:ascii="Times New Roman" w:hAnsi="Times New Roman" w:cs="Times New Roman"/>
          <w:sz w:val="28"/>
          <w:szCs w:val="28"/>
        </w:rPr>
        <w:t>).</w:t>
      </w:r>
    </w:p>
    <w:p w:rsidR="008A7F84" w:rsidP="0029406B" w14:paraId="7AF4F2C7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качестве типа ходатайства </w:t>
      </w:r>
      <w:r w:rsidR="00820AE9">
        <w:rPr>
          <w:rFonts w:ascii="Times New Roman" w:hAnsi="Times New Roman" w:cs="Times New Roman"/>
          <w:sz w:val="28"/>
          <w:szCs w:val="28"/>
        </w:rPr>
        <w:t>допускается указ</w:t>
      </w:r>
      <w:r w:rsidR="00740425">
        <w:rPr>
          <w:rFonts w:ascii="Times New Roman" w:hAnsi="Times New Roman" w:cs="Times New Roman"/>
          <w:sz w:val="28"/>
          <w:szCs w:val="28"/>
        </w:rPr>
        <w:t>ывать</w:t>
      </w:r>
      <w:r w:rsidR="00820AE9">
        <w:rPr>
          <w:rFonts w:ascii="Times New Roman" w:hAnsi="Times New Roman" w:cs="Times New Roman"/>
          <w:sz w:val="28"/>
          <w:szCs w:val="28"/>
        </w:rPr>
        <w:t xml:space="preserve"> </w:t>
      </w:r>
      <w:r w:rsidRPr="00A839C3" w:rsidR="00820AE9">
        <w:rPr>
          <w:rFonts w:ascii="Times New Roman" w:hAnsi="Times New Roman" w:cs="Times New Roman"/>
          <w:b/>
          <w:sz w:val="28"/>
          <w:szCs w:val="28"/>
        </w:rPr>
        <w:t>только</w:t>
      </w:r>
      <w:r w:rsidR="00820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еревод в рамках реорганизации</w:t>
      </w:r>
      <w:r w:rsidR="004D6D98"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29406B" w14:paraId="2212B681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704FE">
        <w:rPr>
          <w:rFonts w:ascii="Times New Roman" w:hAnsi="Times New Roman" w:cs="Times New Roman"/>
          <w:sz w:val="28"/>
          <w:szCs w:val="28"/>
        </w:rPr>
        <w:t xml:space="preserve"> Ходатайство направляется кредитной организацией, являющейся правопреемником реорганизуемой кредитной организации.</w:t>
      </w:r>
    </w:p>
    <w:p w:rsidR="009704FE" w:rsidRPr="009704FE" w:rsidP="0029406B" w14:paraId="42F0303B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При этом в ходатайстве указывается дата, в которую планируется прекращение деятельности реорганизуемой кредитной организации в результате реорганизации, начиная с которой может быть осуществлен перевод нерыночных активов в новый пул обеспечения.</w:t>
      </w:r>
    </w:p>
    <w:p w:rsidR="009704FE" w:rsidRPr="009704FE" w:rsidP="0029406B" w14:paraId="13771836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Банк России переводит в новый пул обеспечения нерыночные активы, находящиеся в исходном пуле обеспечения на дату, предшествующую дате внесения в Единый государственный реестр юридических лиц записи о прекращении деятельности реорганизуемой кредитной организации.</w:t>
      </w:r>
    </w:p>
    <w:p w:rsidR="009704FE" w:rsidRPr="009704FE" w:rsidP="0029406B" w14:paraId="5AE87BC0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704FE">
        <w:rPr>
          <w:rFonts w:ascii="Times New Roman" w:hAnsi="Times New Roman" w:cs="Times New Roman"/>
          <w:sz w:val="28"/>
          <w:szCs w:val="28"/>
        </w:rPr>
        <w:t xml:space="preserve">. </w:t>
      </w:r>
      <w:r w:rsidR="00C70288">
        <w:rPr>
          <w:rFonts w:ascii="Times New Roman" w:hAnsi="Times New Roman" w:cs="Times New Roman"/>
          <w:sz w:val="28"/>
          <w:szCs w:val="28"/>
        </w:rPr>
        <w:t xml:space="preserve">Ходатайство может быть отозвано кредитной организацией путем направления в Банк России </w:t>
      </w:r>
      <w:r w:rsidRPr="009704FE">
        <w:rPr>
          <w:rFonts w:ascii="Times New Roman" w:hAnsi="Times New Roman" w:cs="Times New Roman"/>
          <w:sz w:val="28"/>
          <w:szCs w:val="28"/>
        </w:rPr>
        <w:t>обращени</w:t>
      </w:r>
      <w:r w:rsidR="00C70288">
        <w:rPr>
          <w:rFonts w:ascii="Times New Roman" w:hAnsi="Times New Roman" w:cs="Times New Roman"/>
          <w:sz w:val="28"/>
          <w:szCs w:val="28"/>
        </w:rPr>
        <w:t>я</w:t>
      </w:r>
      <w:r w:rsidRPr="009704FE">
        <w:rPr>
          <w:rFonts w:ascii="Times New Roman" w:hAnsi="Times New Roman" w:cs="Times New Roman"/>
          <w:sz w:val="28"/>
          <w:szCs w:val="28"/>
        </w:rPr>
        <w:t xml:space="preserve"> об отзыве ходатайства. </w:t>
      </w:r>
    </w:p>
    <w:p w:rsidR="009704FE" w:rsidP="0029406B" w14:paraId="23E04E11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Данное обращение, направляемое на бумажном носителе, составляется в произвольной форме с указанием номера и даты ходатайства, которое отзывает кредитная организация.</w:t>
      </w:r>
    </w:p>
    <w:p w:rsidR="000E1821" w:rsidRPr="009704FE" w:rsidP="0029406B" w14:paraId="6F1FA96E" w14:textId="35ABF7AF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Данное обращение, направляемое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29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электронном виде, составляется в виде ЭС С111</w:t>
      </w:r>
      <w:r w:rsidR="007A3EA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D01A4">
          <w:rPr>
            <w:rStyle w:val="Hyperlink"/>
            <w:rFonts w:ascii="Times New Roman" w:hAnsi="Times New Roman" w:cs="Times New Roman"/>
            <w:sz w:val="28"/>
            <w:szCs w:val="28"/>
          </w:rPr>
          <w:t>Ал</w:t>
        </w:r>
        <w:r w:rsidRPr="008D01A4">
          <w:rPr>
            <w:rStyle w:val="Hyperlink"/>
            <w:rFonts w:ascii="Times New Roman" w:hAnsi="Times New Roman" w:cs="Times New Roman"/>
            <w:sz w:val="28"/>
            <w:szCs w:val="28"/>
          </w:rPr>
          <w:t>ьбом</w:t>
        </w:r>
        <w:r w:rsidRPr="008D01A4" w:rsidR="007A3EA4">
          <w:rPr>
            <w:rStyle w:val="Hyperlink"/>
            <w:rFonts w:ascii="Times New Roman" w:hAnsi="Times New Roman" w:cs="Times New Roman"/>
            <w:sz w:val="28"/>
            <w:szCs w:val="28"/>
          </w:rPr>
          <w:t>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29406B" w14:paraId="2CB3D733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Банк России продолжает (не прекращает) процедуру рассмотрения ходатайства при наличии любого из следующих оснований:</w:t>
      </w:r>
    </w:p>
    <w:p w:rsidR="009704FE" w:rsidRPr="009704FE" w:rsidP="0029406B" w14:paraId="0A538B49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обращение об отзыве ходатайства не содержит номер и дату ходатайства, которое отзывает кредитная организация, либо номер и дата ходатайства, указанного в данном обращении, не соответствуют номеру и дате ходатайства, находящегося на рассмотрении в Банке России;</w:t>
      </w:r>
    </w:p>
    <w:p w:rsidR="009704FE" w:rsidRPr="009704FE" w:rsidP="0029406B" w14:paraId="42131522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обращение об отзыве ходатайства поступило в Банк России после принятия Банком России решения о переводе нерыночных активов в новый пул обеспечения или об отказе в совершении данного перевода.</w:t>
      </w:r>
    </w:p>
    <w:p w:rsidR="009704FE" w:rsidRPr="009704FE" w:rsidP="0029406B" w14:paraId="711E9A3B" w14:textId="6301C802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абзацах </w:t>
      </w:r>
      <w:r w:rsidR="00B40C8B">
        <w:rPr>
          <w:rFonts w:ascii="Times New Roman" w:hAnsi="Times New Roman" w:cs="Times New Roman"/>
          <w:sz w:val="28"/>
          <w:szCs w:val="28"/>
        </w:rPr>
        <w:t>пятом</w:t>
      </w:r>
      <w:r w:rsidRPr="009704FE">
        <w:rPr>
          <w:rFonts w:ascii="Times New Roman" w:hAnsi="Times New Roman" w:cs="Times New Roman"/>
          <w:sz w:val="28"/>
          <w:szCs w:val="28"/>
        </w:rPr>
        <w:t xml:space="preserve"> или </w:t>
      </w:r>
      <w:r w:rsidR="00B40C8B">
        <w:rPr>
          <w:rFonts w:ascii="Times New Roman" w:hAnsi="Times New Roman" w:cs="Times New Roman"/>
          <w:sz w:val="28"/>
          <w:szCs w:val="28"/>
        </w:rPr>
        <w:t>шестом</w:t>
      </w:r>
      <w:r w:rsidRPr="009704FE">
        <w:rPr>
          <w:rFonts w:ascii="Times New Roman" w:hAnsi="Times New Roman" w:cs="Times New Roman"/>
          <w:sz w:val="28"/>
          <w:szCs w:val="28"/>
        </w:rPr>
        <w:t xml:space="preserve"> настоящего пункта, Банк России не позднее рабочего дня, следующего за днем получения обращения об отзыве ходатайства, уведомляет кредитную </w:t>
      </w:r>
      <w:r w:rsidRPr="009704FE">
        <w:rPr>
          <w:rFonts w:ascii="Times New Roman" w:hAnsi="Times New Roman" w:cs="Times New Roman"/>
          <w:sz w:val="28"/>
          <w:szCs w:val="28"/>
        </w:rPr>
        <w:t xml:space="preserve">организацию о том, что процедура рассмотрения ходатайства не прекращена. </w:t>
      </w:r>
      <w:r w:rsidR="00945773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583EC8">
        <w:rPr>
          <w:rFonts w:ascii="Times New Roman" w:hAnsi="Times New Roman" w:cs="Times New Roman"/>
          <w:sz w:val="28"/>
          <w:szCs w:val="28"/>
        </w:rPr>
        <w:t xml:space="preserve">обращения об отзыве </w:t>
      </w:r>
      <w:r w:rsidR="00945773">
        <w:rPr>
          <w:rFonts w:ascii="Times New Roman" w:hAnsi="Times New Roman" w:cs="Times New Roman"/>
          <w:sz w:val="28"/>
          <w:szCs w:val="28"/>
        </w:rPr>
        <w:t xml:space="preserve">ходатайства в электронном виде </w:t>
      </w:r>
      <w:r w:rsidR="00D40120">
        <w:rPr>
          <w:rFonts w:ascii="Times New Roman" w:hAnsi="Times New Roman" w:cs="Times New Roman"/>
          <w:sz w:val="28"/>
          <w:szCs w:val="28"/>
        </w:rPr>
        <w:t xml:space="preserve">данное уведомление направляется в виде ЭС С211 в соответствии с </w:t>
      </w:r>
      <w:hyperlink r:id="rId7" w:history="1">
        <w:r w:rsidRPr="00D40120" w:rsidR="00D40120">
          <w:rPr>
            <w:rStyle w:val="Hyperlink"/>
            <w:rFonts w:ascii="Times New Roman" w:hAnsi="Times New Roman" w:cs="Times New Roman"/>
            <w:sz w:val="28"/>
            <w:szCs w:val="28"/>
          </w:rPr>
          <w:t>Аль</w:t>
        </w:r>
        <w:r w:rsidRPr="00D40120" w:rsidR="00D40120">
          <w:rPr>
            <w:rStyle w:val="Hyperlink"/>
            <w:rFonts w:ascii="Times New Roman" w:hAnsi="Times New Roman" w:cs="Times New Roman"/>
            <w:sz w:val="28"/>
            <w:szCs w:val="28"/>
          </w:rPr>
          <w:t>б</w:t>
        </w:r>
        <w:r w:rsidRPr="00D40120" w:rsidR="00D40120">
          <w:rPr>
            <w:rStyle w:val="Hyperlink"/>
            <w:rFonts w:ascii="Times New Roman" w:hAnsi="Times New Roman" w:cs="Times New Roman"/>
            <w:sz w:val="28"/>
            <w:szCs w:val="28"/>
          </w:rPr>
          <w:t>омом</w:t>
        </w:r>
      </w:hyperlink>
      <w:r w:rsidR="00D40120">
        <w:rPr>
          <w:rFonts w:ascii="Times New Roman" w:hAnsi="Times New Roman" w:cs="Times New Roman"/>
          <w:sz w:val="28"/>
          <w:szCs w:val="28"/>
        </w:rPr>
        <w:t>.</w:t>
      </w:r>
    </w:p>
    <w:p w:rsidR="009704FE" w:rsidP="0029406B" w14:paraId="3E0FC451" w14:textId="603F2410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Указанное уведомление не направляется, когда кредитной организации уже направлено уведомление о согласии на перевод или уведомление об отказе в переводе </w:t>
      </w:r>
      <w:r w:rsidRPr="005F1D4C" w:rsidR="003E1130">
        <w:rPr>
          <w:rFonts w:ascii="Times New Roman" w:hAnsi="Times New Roman" w:cs="Times New Roman"/>
          <w:sz w:val="28"/>
          <w:szCs w:val="28"/>
          <w:lang w:eastAsia="ru-RU"/>
        </w:rPr>
        <w:t>нерыночных активов между пулами обеспечения</w:t>
      </w:r>
      <w:r w:rsidRPr="009704FE" w:rsidR="003E1130">
        <w:rPr>
          <w:rFonts w:ascii="Times New Roman" w:hAnsi="Times New Roman" w:cs="Times New Roman"/>
          <w:sz w:val="28"/>
          <w:szCs w:val="28"/>
        </w:rPr>
        <w:t xml:space="preserve"> </w:t>
      </w:r>
      <w:r w:rsidR="00176CC2">
        <w:rPr>
          <w:rFonts w:ascii="Times New Roman" w:hAnsi="Times New Roman" w:cs="Times New Roman"/>
          <w:sz w:val="28"/>
          <w:szCs w:val="28"/>
        </w:rPr>
        <w:br/>
      </w:r>
      <w:r w:rsidR="003E1130">
        <w:rPr>
          <w:rFonts w:ascii="Times New Roman" w:hAnsi="Times New Roman" w:cs="Times New Roman"/>
          <w:sz w:val="28"/>
          <w:szCs w:val="28"/>
        </w:rPr>
        <w:t xml:space="preserve">(далее – уведомление об отказе в переводе) </w:t>
      </w:r>
      <w:r w:rsidRPr="009704FE">
        <w:rPr>
          <w:rFonts w:ascii="Times New Roman" w:hAnsi="Times New Roman" w:cs="Times New Roman"/>
          <w:sz w:val="28"/>
          <w:szCs w:val="28"/>
        </w:rPr>
        <w:t>в ответ на ходатайство, отзыв которого инициирован кредитной организацией, направленное в Банк России на бумажном носителе.</w:t>
      </w:r>
      <w:r w:rsidR="00871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8E" w:rsidP="0029406B" w14:paraId="7DEB2D11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При отсутствии указанных оснований Банк России не позднее рабочего дня, следующего за днем получения обращения об отзыве ходатайства, направляет кредитной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58E" w:rsidP="0029406B" w14:paraId="422CD69E" w14:textId="5A555CEA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69058E">
        <w:rPr>
          <w:rFonts w:ascii="Times New Roman" w:hAnsi="Times New Roman" w:cs="Times New Roman"/>
          <w:sz w:val="28"/>
          <w:szCs w:val="28"/>
        </w:rPr>
        <w:t xml:space="preserve">о результатах рассмотрения обращения об отзыве ходатайства </w:t>
      </w:r>
      <w:r w:rsidR="00871EF3">
        <w:rPr>
          <w:rFonts w:ascii="Times New Roman" w:hAnsi="Times New Roman" w:cs="Times New Roman"/>
          <w:sz w:val="28"/>
          <w:szCs w:val="28"/>
        </w:rPr>
        <w:t xml:space="preserve">в виде ЭС С211 в соответствии с </w:t>
      </w:r>
      <w:hyperlink r:id="rId7" w:history="1">
        <w:r w:rsidRPr="00871EF3" w:rsidR="00871EF3">
          <w:rPr>
            <w:rStyle w:val="Hyperlink"/>
            <w:rFonts w:ascii="Times New Roman" w:hAnsi="Times New Roman" w:cs="Times New Roman"/>
            <w:sz w:val="28"/>
            <w:szCs w:val="28"/>
          </w:rPr>
          <w:t>Ал</w:t>
        </w:r>
        <w:r w:rsidRPr="00871EF3" w:rsidR="00871EF3">
          <w:rPr>
            <w:rStyle w:val="Hyperlink"/>
            <w:rFonts w:ascii="Times New Roman" w:hAnsi="Times New Roman" w:cs="Times New Roman"/>
            <w:sz w:val="28"/>
            <w:szCs w:val="28"/>
          </w:rPr>
          <w:t>ь</w:t>
        </w:r>
        <w:r w:rsidRPr="00871EF3" w:rsidR="00871EF3">
          <w:rPr>
            <w:rStyle w:val="Hyperlink"/>
            <w:rFonts w:ascii="Times New Roman" w:hAnsi="Times New Roman" w:cs="Times New Roman"/>
            <w:sz w:val="28"/>
            <w:szCs w:val="28"/>
          </w:rPr>
          <w:t>бомом</w:t>
        </w:r>
      </w:hyperlink>
      <w:r w:rsidR="00871EF3">
        <w:rPr>
          <w:rFonts w:ascii="Times New Roman" w:hAnsi="Times New Roman" w:cs="Times New Roman"/>
          <w:sz w:val="28"/>
          <w:szCs w:val="28"/>
        </w:rPr>
        <w:t xml:space="preserve"> (при поступлении ходатайства</w:t>
      </w:r>
      <w:r w:rsidR="00C304D6">
        <w:rPr>
          <w:rFonts w:ascii="Times New Roman" w:hAnsi="Times New Roman" w:cs="Times New Roman"/>
          <w:sz w:val="28"/>
          <w:szCs w:val="28"/>
        </w:rPr>
        <w:t xml:space="preserve"> </w:t>
      </w:r>
      <w:r w:rsidR="00871EF3">
        <w:rPr>
          <w:rFonts w:ascii="Times New Roman" w:hAnsi="Times New Roman" w:cs="Times New Roman"/>
          <w:sz w:val="28"/>
          <w:szCs w:val="28"/>
        </w:rPr>
        <w:t>в электронном виде);</w:t>
      </w:r>
    </w:p>
    <w:p w:rsidR="009704FE" w:rsidRPr="009704FE" w:rsidP="0029406B" w14:paraId="4D324589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уведомление об отказе в переводе, в котором в качестве причины отказа приводится ссылка на данное обращение с указанием его номера и даты. </w:t>
      </w:r>
      <w:r w:rsidR="00F97C5E">
        <w:rPr>
          <w:rFonts w:ascii="Times New Roman" w:hAnsi="Times New Roman" w:cs="Times New Roman"/>
          <w:sz w:val="28"/>
          <w:szCs w:val="28"/>
        </w:rPr>
        <w:t>Д</w:t>
      </w:r>
      <w:r w:rsidR="007A3EA4">
        <w:rPr>
          <w:rFonts w:ascii="Times New Roman" w:hAnsi="Times New Roman" w:cs="Times New Roman"/>
          <w:sz w:val="28"/>
          <w:szCs w:val="28"/>
        </w:rPr>
        <w:t>анно</w:t>
      </w:r>
      <w:r w:rsidR="00F97C5E">
        <w:rPr>
          <w:rFonts w:ascii="Times New Roman" w:hAnsi="Times New Roman" w:cs="Times New Roman"/>
          <w:sz w:val="28"/>
          <w:szCs w:val="28"/>
        </w:rPr>
        <w:t>е</w:t>
      </w:r>
      <w:r w:rsidR="007A3EA4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F97C5E">
        <w:rPr>
          <w:rFonts w:ascii="Times New Roman" w:hAnsi="Times New Roman" w:cs="Times New Roman"/>
          <w:sz w:val="28"/>
          <w:szCs w:val="28"/>
        </w:rPr>
        <w:t>е</w:t>
      </w:r>
      <w:r w:rsidR="00EB4CD8">
        <w:rPr>
          <w:rFonts w:ascii="Times New Roman" w:hAnsi="Times New Roman" w:cs="Times New Roman"/>
          <w:sz w:val="28"/>
          <w:szCs w:val="28"/>
        </w:rPr>
        <w:t xml:space="preserve">, направляемое </w:t>
      </w:r>
      <w:r w:rsidR="0069058E">
        <w:rPr>
          <w:rFonts w:ascii="Times New Roman" w:hAnsi="Times New Roman" w:cs="Times New Roman"/>
          <w:sz w:val="28"/>
          <w:szCs w:val="28"/>
        </w:rPr>
        <w:t xml:space="preserve">в </w:t>
      </w:r>
      <w:r w:rsidR="007A3EA4">
        <w:rPr>
          <w:rFonts w:ascii="Times New Roman" w:hAnsi="Times New Roman" w:cs="Times New Roman"/>
          <w:sz w:val="28"/>
          <w:szCs w:val="28"/>
        </w:rPr>
        <w:t>электронном виде,</w:t>
      </w:r>
      <w:r w:rsidR="00EB4CD8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7A3EA4">
        <w:rPr>
          <w:rFonts w:ascii="Times New Roman" w:hAnsi="Times New Roman" w:cs="Times New Roman"/>
          <w:sz w:val="28"/>
          <w:szCs w:val="28"/>
        </w:rPr>
        <w:t xml:space="preserve">в виде ЭС </w:t>
      </w:r>
      <w:r w:rsidR="0069058E">
        <w:rPr>
          <w:rFonts w:ascii="Times New Roman" w:hAnsi="Times New Roman" w:cs="Times New Roman"/>
          <w:sz w:val="28"/>
          <w:szCs w:val="28"/>
        </w:rPr>
        <w:t xml:space="preserve">С210 </w:t>
      </w:r>
      <w:r w:rsidR="007A3E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9058E" w:rsidR="007A3EA4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="007A3EA4"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8C00AD" w14:paraId="1CA28651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04FE">
        <w:rPr>
          <w:rFonts w:ascii="Times New Roman" w:hAnsi="Times New Roman" w:cs="Times New Roman"/>
          <w:sz w:val="28"/>
          <w:szCs w:val="28"/>
        </w:rPr>
        <w:t>. Банк России направляет кредитной организации уведомление о согласии на перевод или уведомление о</w:t>
      </w:r>
      <w:r w:rsidR="008C00AD">
        <w:rPr>
          <w:rFonts w:ascii="Times New Roman" w:hAnsi="Times New Roman" w:cs="Times New Roman"/>
          <w:sz w:val="28"/>
          <w:szCs w:val="28"/>
        </w:rPr>
        <w:t xml:space="preserve">б отказе в переводе </w:t>
      </w:r>
      <w:r w:rsidRPr="009704FE">
        <w:rPr>
          <w:rFonts w:ascii="Times New Roman" w:hAnsi="Times New Roman" w:cs="Times New Roman"/>
          <w:sz w:val="28"/>
          <w:szCs w:val="28"/>
        </w:rPr>
        <w:t>не позднее рабочего дня, предшествующего дате расторжения договора об участии, заключенном с реорганизуемой кредитной организацией</w:t>
      </w:r>
      <w:r w:rsidRPr="009704F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704FE" w:rsidRPr="009704FE" w:rsidP="0029406B" w14:paraId="22079A55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Банк России сообщает кредитной организации уникальные идентификационные номера нерыночных активов, переводимых в новый пул обеспечения.</w:t>
      </w:r>
    </w:p>
    <w:p w:rsidR="009704FE" w:rsidP="0029406B" w14:paraId="18B87E9B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Если уведомление о согласии на перевод</w:t>
      </w:r>
      <w:r w:rsidR="007A3EA4">
        <w:rPr>
          <w:rFonts w:ascii="Times New Roman" w:hAnsi="Times New Roman" w:cs="Times New Roman"/>
          <w:sz w:val="28"/>
          <w:szCs w:val="28"/>
        </w:rPr>
        <w:t xml:space="preserve"> / уведомление об отказе в переводе</w:t>
      </w:r>
      <w:r w:rsidRPr="009704FE">
        <w:rPr>
          <w:rFonts w:ascii="Times New Roman" w:hAnsi="Times New Roman" w:cs="Times New Roman"/>
          <w:sz w:val="28"/>
          <w:szCs w:val="28"/>
        </w:rPr>
        <w:t xml:space="preserve"> направляется на бумажном носителе, оно составляется в соответствии с приложением </w:t>
      </w:r>
      <w:r w:rsidR="00175F19">
        <w:rPr>
          <w:rFonts w:ascii="Times New Roman" w:hAnsi="Times New Roman" w:cs="Times New Roman"/>
          <w:sz w:val="28"/>
          <w:szCs w:val="28"/>
        </w:rPr>
        <w:t>2</w:t>
      </w:r>
      <w:r w:rsidRPr="009704FE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620DA7">
        <w:rPr>
          <w:rFonts w:ascii="Times New Roman" w:hAnsi="Times New Roman" w:cs="Times New Roman"/>
          <w:sz w:val="28"/>
          <w:szCs w:val="28"/>
        </w:rPr>
        <w:t>ей процедуре</w:t>
      </w:r>
      <w:r w:rsidRPr="009704FE">
        <w:rPr>
          <w:rFonts w:ascii="Times New Roman" w:hAnsi="Times New Roman" w:cs="Times New Roman"/>
          <w:sz w:val="28"/>
          <w:szCs w:val="28"/>
        </w:rPr>
        <w:t>.</w:t>
      </w:r>
    </w:p>
    <w:p w:rsidR="007A3EA4" w:rsidRPr="009704FE" w:rsidP="0029406B" w14:paraId="78DDBDF9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Если уведомление о согласии на перевод</w:t>
      </w:r>
      <w:r>
        <w:rPr>
          <w:rFonts w:ascii="Times New Roman" w:hAnsi="Times New Roman" w:cs="Times New Roman"/>
          <w:sz w:val="28"/>
          <w:szCs w:val="28"/>
        </w:rPr>
        <w:t xml:space="preserve"> / уведомление об отказе в переводе</w:t>
      </w:r>
      <w:r w:rsidRPr="009704FE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виде, то оно формируется в виде</w:t>
      </w:r>
      <w:r w:rsidR="00BA3B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ЭС С210</w:t>
      </w:r>
      <w:r w:rsidR="00C95D3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7" w:history="1">
        <w:r w:rsidRPr="0069058E" w:rsidR="00C95D3A">
          <w:rPr>
            <w:rStyle w:val="Hyperlink"/>
            <w:rFonts w:ascii="Times New Roman" w:hAnsi="Times New Roman" w:cs="Times New Roman"/>
            <w:sz w:val="28"/>
            <w:szCs w:val="28"/>
          </w:rPr>
          <w:t>Альбомом</w:t>
        </w:r>
      </w:hyperlink>
      <w:r w:rsidR="00C95D3A">
        <w:rPr>
          <w:rFonts w:ascii="Times New Roman" w:hAnsi="Times New Roman" w:cs="Times New Roman"/>
          <w:sz w:val="28"/>
          <w:szCs w:val="28"/>
        </w:rPr>
        <w:t>.</w:t>
      </w:r>
    </w:p>
    <w:p w:rsidR="009704FE" w:rsidRPr="009704FE" w:rsidP="0029406B" w14:paraId="6DCDE61A" w14:textId="77777777">
      <w:pPr>
        <w:pStyle w:val="21"/>
        <w:widowControl w:val="0"/>
        <w:spacing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704FE">
        <w:rPr>
          <w:rFonts w:ascii="Times New Roman" w:hAnsi="Times New Roman" w:cs="Times New Roman"/>
          <w:sz w:val="28"/>
          <w:szCs w:val="28"/>
        </w:rPr>
        <w:t>. Банк России переводит нерыночные активы в новый пул обеспечения не позднее рабочего дня, следующего за днем направления Банком России уведомления о согласии на перевод.</w:t>
      </w:r>
    </w:p>
    <w:p w:rsidR="002A3880" w:rsidP="00C95D3A" w14:paraId="0F015BF9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704FE" w:rsidR="009704FE">
        <w:rPr>
          <w:rFonts w:ascii="Times New Roman" w:hAnsi="Times New Roman" w:cs="Times New Roman"/>
          <w:sz w:val="28"/>
          <w:szCs w:val="28"/>
        </w:rPr>
        <w:t xml:space="preserve">. Основанием для направления уведомления об отказе в переводе является невыполнение любого из </w:t>
      </w:r>
      <w:r w:rsidR="008E438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9704FE" w:rsidR="009704FE">
        <w:rPr>
          <w:rFonts w:ascii="Times New Roman" w:hAnsi="Times New Roman" w:cs="Times New Roman"/>
          <w:sz w:val="28"/>
          <w:szCs w:val="28"/>
        </w:rPr>
        <w:t>условий (если иное не установлено Банком России):</w:t>
      </w:r>
    </w:p>
    <w:p w:rsidR="00C95D3A" w:rsidRPr="009704FE" w:rsidP="00C95D3A" w14:paraId="423221EB" w14:textId="7E0CEE85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ходатайства выполняются требования главы 2 Условий;</w:t>
      </w:r>
    </w:p>
    <w:p w:rsidR="00537D3A" w:rsidP="0029406B" w14:paraId="184C12A2" w14:textId="769B1BA3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3A">
        <w:rPr>
          <w:rFonts w:ascii="Times New Roman" w:hAnsi="Times New Roman" w:cs="Times New Roman"/>
          <w:sz w:val="28"/>
          <w:szCs w:val="28"/>
        </w:rPr>
        <w:t>ходатайство составлено в 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указанными в подпунктах 1.1–1.3 пункта 1 настоящей процедуры, </w:t>
      </w:r>
      <w:r w:rsidRPr="00537D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40120">
        <w:rPr>
          <w:rFonts w:ascii="Times New Roman" w:hAnsi="Times New Roman" w:cs="Times New Roman"/>
          <w:sz w:val="28"/>
          <w:szCs w:val="28"/>
        </w:rPr>
        <w:t xml:space="preserve">– при направлении на бумажном носителе – </w:t>
      </w:r>
      <w:r w:rsidRPr="00537D3A">
        <w:rPr>
          <w:rFonts w:ascii="Times New Roman" w:hAnsi="Times New Roman" w:cs="Times New Roman"/>
          <w:sz w:val="28"/>
          <w:szCs w:val="28"/>
        </w:rPr>
        <w:t xml:space="preserve">требованиями к его форме, </w:t>
      </w:r>
      <w:r>
        <w:rPr>
          <w:rFonts w:ascii="Times New Roman" w:hAnsi="Times New Roman" w:cs="Times New Roman"/>
          <w:sz w:val="28"/>
          <w:szCs w:val="28"/>
        </w:rPr>
        <w:t xml:space="preserve">указанной в </w:t>
      </w:r>
      <w:r w:rsidRPr="009704F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 xml:space="preserve"> к настоящ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7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процедуре;</w:t>
      </w:r>
    </w:p>
    <w:p w:rsidR="009704FE" w:rsidRPr="009704FE" w:rsidP="0029406B" w14:paraId="397397A9" w14:textId="6D83E33C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ходатайстве правильно указаны реквизиты кредитных организаций</w:t>
      </w:r>
      <w:r w:rsidR="00537D3A">
        <w:rPr>
          <w:rFonts w:ascii="Times New Roman" w:hAnsi="Times New Roman" w:cs="Times New Roman"/>
          <w:sz w:val="28"/>
          <w:szCs w:val="28"/>
        </w:rPr>
        <w:t xml:space="preserve"> </w:t>
      </w:r>
      <w:r w:rsidRPr="00537D3A" w:rsidR="00537D3A">
        <w:rPr>
          <w:rFonts w:ascii="Times New Roman" w:hAnsi="Times New Roman" w:cs="Times New Roman"/>
          <w:sz w:val="28"/>
          <w:szCs w:val="28"/>
        </w:rPr>
        <w:t>и номера основных счетов кредитных организаций</w:t>
      </w:r>
      <w:r w:rsidR="00C95D3A">
        <w:rPr>
          <w:rFonts w:ascii="Times New Roman" w:hAnsi="Times New Roman" w:cs="Times New Roman"/>
          <w:sz w:val="28"/>
          <w:szCs w:val="28"/>
        </w:rPr>
        <w:t>;</w:t>
      </w:r>
    </w:p>
    <w:p w:rsidR="009704FE" w:rsidP="0029406B" w14:paraId="228DFAD3" w14:textId="11ABA67A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ходатайстве указана дата, в которую планируется прекращение деятельности реорганизуемой кредитной организации;</w:t>
      </w:r>
    </w:p>
    <w:p w:rsidR="00537D3A" w:rsidRPr="009704FE" w:rsidP="0029406B" w14:paraId="3BDC2E9E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D3A">
        <w:rPr>
          <w:rFonts w:ascii="Times New Roman" w:hAnsi="Times New Roman" w:cs="Times New Roman"/>
          <w:sz w:val="28"/>
          <w:szCs w:val="28"/>
        </w:rPr>
        <w:t>Банк России располагает информацией о факте реор</w:t>
      </w:r>
      <w:r>
        <w:rPr>
          <w:rFonts w:ascii="Times New Roman" w:hAnsi="Times New Roman" w:cs="Times New Roman"/>
          <w:sz w:val="28"/>
          <w:szCs w:val="28"/>
        </w:rPr>
        <w:t>ганизации кредитной организации;</w:t>
      </w:r>
    </w:p>
    <w:p w:rsidR="009704FE" w:rsidRPr="009704FE" w:rsidP="0029406B" w14:paraId="08F5458F" w14:textId="77777777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договор об участии, заключенный Банком России с кредитной организацией, предусматривает предоставление кредитов, обеспеченных нерыночными активами, на основной счет, по которому сформирован новый пул обеспечения или возможно его формирование;</w:t>
      </w:r>
    </w:p>
    <w:p w:rsidR="009704FE" w:rsidRPr="009704FE" w:rsidP="0029406B" w14:paraId="447A307A" w14:textId="3DD7A17F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 xml:space="preserve">при направлении ходатайства кредитная организация </w:t>
      </w:r>
      <w:r w:rsidR="00124B1C">
        <w:rPr>
          <w:rFonts w:ascii="Times New Roman" w:hAnsi="Times New Roman" w:cs="Times New Roman"/>
          <w:sz w:val="28"/>
          <w:szCs w:val="28"/>
        </w:rPr>
        <w:t>выполнила срок его направления, установленный пунктом 3 настоящей процедуры</w:t>
      </w:r>
      <w:r w:rsidRPr="009704FE">
        <w:rPr>
          <w:rFonts w:ascii="Times New Roman" w:hAnsi="Times New Roman" w:cs="Times New Roman"/>
          <w:sz w:val="28"/>
          <w:szCs w:val="28"/>
        </w:rPr>
        <w:t>;</w:t>
      </w:r>
    </w:p>
    <w:p w:rsidR="009704FE" w:rsidRPr="009704FE" w:rsidP="0029406B" w14:paraId="1EA294A2" w14:textId="537DD9BF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отношении основного счета, указанного в ходатайстве, в пул обеспечения по которому кредитная организация просит перевести нерыночные активы, выполняются условия, указанные в подпункте 10.7.1</w:t>
      </w:r>
      <w:r w:rsidRPr="009704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 xml:space="preserve"> пункта 10.7 Условий;</w:t>
      </w:r>
    </w:p>
    <w:p w:rsidR="009704FE" w:rsidRPr="009704FE" w:rsidP="0029406B" w14:paraId="5E2CDC4C" w14:textId="5258E129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исходном пуле обеспечения имеются нерыночные активы, которые могут быть переведены в новый пул обеспечения на основании ходатайства;</w:t>
      </w:r>
    </w:p>
    <w:p w:rsidR="009704FE" w:rsidRPr="009704FE" w:rsidP="0029406B" w14:paraId="7A0C3A74" w14:textId="7E328163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в отношении нерыночных активов, подлежащих переводу в новый пул обеспечения на основании ходатайства, выполняются условия включения нерыночных активов в пул обеспечения, предусмотренные подпунктами 10.7.3–10.7.8</w:t>
      </w:r>
      <w:r w:rsidRPr="009704F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704FE">
        <w:rPr>
          <w:rFonts w:ascii="Times New Roman" w:hAnsi="Times New Roman" w:cs="Times New Roman"/>
          <w:sz w:val="28"/>
          <w:szCs w:val="28"/>
        </w:rPr>
        <w:t>, 10.7.11–10.7.14 пункта 10.7 Условий, либо отдельные из указанных условий, если по решению Банка России нерыночные активы находятся в пуле обеспечения при их несоответствии таким условиям;</w:t>
      </w:r>
    </w:p>
    <w:p w:rsidR="009704FE" w:rsidRPr="009704FE" w:rsidP="0029406B" w14:paraId="422B7518" w14:textId="3CC5CBF2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для нерыночных активов, подлежащих переводу в новый пул обеспечения на ос</w:t>
      </w:r>
      <w:r w:rsidR="00537D3A">
        <w:rPr>
          <w:rFonts w:ascii="Times New Roman" w:hAnsi="Times New Roman" w:cs="Times New Roman"/>
          <w:sz w:val="28"/>
          <w:szCs w:val="28"/>
        </w:rPr>
        <w:t xml:space="preserve">новании ходатайства </w:t>
      </w:r>
      <w:r w:rsidRPr="009704FE">
        <w:rPr>
          <w:rFonts w:ascii="Times New Roman" w:hAnsi="Times New Roman" w:cs="Times New Roman"/>
          <w:sz w:val="28"/>
          <w:szCs w:val="28"/>
        </w:rPr>
        <w:t>в отношении лица, являющегося обязанным лицом по кредитному договору, и кредитной организации, в пул обеспечения которой подлежат переводу нерыночные активы, выполняется требование, указанное в абзаце втором подпункта 10.7.13.3 пункта 10.7 Условий;</w:t>
      </w:r>
    </w:p>
    <w:p w:rsidR="009704FE" w:rsidRPr="009704FE" w:rsidP="0029406B" w14:paraId="1837E46D" w14:textId="328FEC69">
      <w:pPr>
        <w:spacing w:after="0" w:line="348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отсутствуют основания для исключения нерыночных активов, подлежащих переводу в новый пул обеспечения на основании ходатайства из исходного пула обеспечения по решению Банка России или инициативе кредитной организации;</w:t>
      </w:r>
    </w:p>
    <w:p w:rsidR="003F18A1" w:rsidP="0029406B" w14:paraId="3342E0BF" w14:textId="7E96ED0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4FE">
        <w:rPr>
          <w:rFonts w:ascii="Times New Roman" w:hAnsi="Times New Roman" w:cs="Times New Roman"/>
          <w:sz w:val="28"/>
          <w:szCs w:val="28"/>
        </w:rPr>
        <w:t>нерыночные активы, подлежащие переводу в новый пул обеспечения на основании ходатайства, не подлежат переводу на основании другого ходатайства, рассмотрение которого не прекращено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4FE" w:rsidP="0029406B" w14:paraId="27B4CD3D" w14:textId="27CA4D5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не отозвано кредитной организацией</w:t>
      </w:r>
      <w:r w:rsidRPr="009704FE">
        <w:rPr>
          <w:rFonts w:ascii="Times New Roman" w:hAnsi="Times New Roman" w:cs="Times New Roman"/>
          <w:sz w:val="28"/>
          <w:szCs w:val="28"/>
        </w:rPr>
        <w:t>.</w:t>
      </w:r>
    </w:p>
    <w:p w:rsidR="00D33B38" w:rsidP="006A1B0C" w14:paraId="131100E6" w14:textId="632423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2CE4">
        <w:rPr>
          <w:rFonts w:ascii="Times New Roman" w:hAnsi="Times New Roman" w:cs="Times New Roman"/>
          <w:sz w:val="28"/>
          <w:szCs w:val="28"/>
        </w:rPr>
        <w:t>0</w:t>
      </w:r>
      <w:r w:rsidRPr="009704FE" w:rsidR="006A1B0C">
        <w:rPr>
          <w:rFonts w:ascii="Times New Roman" w:hAnsi="Times New Roman" w:cs="Times New Roman"/>
          <w:sz w:val="28"/>
          <w:szCs w:val="28"/>
        </w:rPr>
        <w:t xml:space="preserve">. Банк России включает нерыночный актив в </w:t>
      </w:r>
      <w:r w:rsidR="00004F42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9704FE" w:rsidR="006A1B0C">
        <w:rPr>
          <w:rFonts w:ascii="Times New Roman" w:hAnsi="Times New Roman" w:cs="Times New Roman"/>
          <w:sz w:val="28"/>
          <w:szCs w:val="28"/>
        </w:rPr>
        <w:t xml:space="preserve">пул обеспечения на основании ходатайства при выполнении условий, указанных в </w:t>
      </w:r>
      <w:r w:rsidR="00122CE4">
        <w:rPr>
          <w:rFonts w:ascii="Times New Roman" w:hAnsi="Times New Roman" w:cs="Times New Roman"/>
          <w:sz w:val="28"/>
          <w:szCs w:val="28"/>
        </w:rPr>
        <w:t>пункте 9</w:t>
      </w:r>
      <w:r>
        <w:rPr>
          <w:rFonts w:ascii="Times New Roman" w:hAnsi="Times New Roman" w:cs="Times New Roman"/>
          <w:sz w:val="28"/>
          <w:szCs w:val="28"/>
        </w:rPr>
        <w:t xml:space="preserve"> настоящей процедуры</w:t>
      </w:r>
      <w:r w:rsidRPr="009704FE" w:rsidR="006A1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3B38" w:rsidP="006A1B0C" w14:paraId="7C81DCC8" w14:textId="77777777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Sect="006A1B0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4CE4" w:rsidRPr="00A1090E" w:rsidP="009A4CE4" w14:paraId="5E196202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Приложение 1 </w:t>
      </w:r>
    </w:p>
    <w:p w:rsidR="009A4CE4" w:rsidRPr="00A1090E" w:rsidP="009A4CE4" w14:paraId="0ED1D6AC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4"/>
          <w:lang w:eastAsia="ru-RU"/>
        </w:rPr>
        <w:t>к процедуре перевода прав требования по кредитным договорам между пулами обеспечения</w:t>
      </w:r>
    </w:p>
    <w:p w:rsidR="009A4CE4" w:rsidP="009A4CE4" w14:paraId="23254633" w14:textId="56B0D273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264C" w:rsidRPr="009A4CE4" w:rsidP="009A4CE4" w14:paraId="588675F2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6802D177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(на бланке кредитной организации)</w:t>
      </w:r>
    </w:p>
    <w:p w:rsidR="009A4CE4" w:rsidRPr="009A4CE4" w:rsidP="009A4CE4" w14:paraId="4F2AB23F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9A4CE4" w:rsidRPr="009A4CE4" w:rsidP="009A4CE4" w14:paraId="340509EE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A4CE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(наименование подразделения Банка России) </w:t>
      </w:r>
    </w:p>
    <w:p w:rsidR="009A4CE4" w:rsidRPr="009A4CE4" w:rsidP="009A4CE4" w14:paraId="405AD0A5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770313F8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Ходатайство</w:t>
      </w:r>
    </w:p>
    <w:p w:rsidR="009A4CE4" w:rsidRPr="009A4CE4" w:rsidP="009A4CE4" w14:paraId="4C21FC9E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переводе нерыночных активов между пулами обеспечения</w:t>
      </w:r>
    </w:p>
    <w:p w:rsidR="009A4CE4" w:rsidRPr="009A4CE4" w:rsidP="009A4CE4" w14:paraId="4EE5060D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№ _________ от   _______________ года</w:t>
      </w:r>
    </w:p>
    <w:p w:rsidR="009A4CE4" w:rsidRPr="009A4CE4" w:rsidP="009A4CE4" w14:paraId="4325F398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21FEE404" w14:textId="777777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9A4CE4" w:rsidRPr="009A4CE4" w:rsidP="009A4CE4" w14:paraId="4A7E201B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0"/>
          <w:szCs w:val="20"/>
          <w:lang w:eastAsia="zh-CN"/>
        </w:rPr>
        <w:t>(полное фирменное наименование кредитной организации и ее регистрационный номер, присвоенный Банком России)</w:t>
      </w:r>
    </w:p>
    <w:p w:rsidR="009A4CE4" w:rsidRPr="009A4CE4" w:rsidP="009A4CE4" w14:paraId="63A27D8E" w14:textId="4EB5F1B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Кредитная организация) в соответствии с Условиями проведения операций  по предоставлению и погашению кредитов Банка России, обеспеченных ценными бумагами или правами требования по кредитным договорам, и договором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договорам, от __________________ года № </w:t>
      </w:r>
      <w:r w:rsidR="004B2C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просит перевести право требования по кредитному договору (права требования по кредитным договорам) (далее – нерыночные активы) на основании настоящего ходатайства следующего типа:</w:t>
      </w:r>
    </w:p>
    <w:p w:rsidR="009A4CE4" w:rsidRPr="009A4CE4" w:rsidP="009A4CE4" w14:paraId="6BB790F1" w14:textId="23EFF39D">
      <w:pPr>
        <w:spacing w:after="0" w:line="228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перевод в рамках одной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6"/>
      </w:r>
    </w:p>
    <w:p w:rsidR="009A4CE4" w:rsidRPr="009A4CE4" w:rsidP="009A4CE4" w14:paraId="7C405E04" w14:textId="5A48BA8D">
      <w:pPr>
        <w:spacing w:after="0" w:line="228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перевод в рамках реорганизации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7"/>
      </w:r>
    </w:p>
    <w:p w:rsidR="009A4CE4" w:rsidRPr="009A4CE4" w:rsidP="009A4CE4" w14:paraId="4C63B205" w14:textId="59DA2768">
      <w:pPr>
        <w:spacing w:before="40" w:after="0" w:line="228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из пула обеспечения, сформированного в целях обеспечения кредитов, предоставляемых на банковский счет 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8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______________________________________ ____________________________________________________________________________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9"/>
      </w:r>
    </w:p>
    <w:p w:rsidR="009A4CE4" w:rsidRPr="009A4CE4" w:rsidP="009A4CE4" w14:paraId="27B13951" w14:textId="777777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Calibri" w:hAnsi="Times New Roman" w:cs="Times New Roman"/>
          <w:sz w:val="20"/>
          <w:szCs w:val="20"/>
          <w:lang w:eastAsia="zh-CN"/>
        </w:rPr>
        <w:t>(полное фирменное наименование кредитной организации и ее регистрационный номер, присвоенный Банком России)</w:t>
      </w:r>
    </w:p>
    <w:p w:rsidR="009A4CE4" w:rsidRPr="009A4CE4" w:rsidP="009A4CE4" w14:paraId="54F0A78D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_____________________________, открытый в ___________________________________</w:t>
      </w:r>
    </w:p>
    <w:p w:rsidR="009A4CE4" w:rsidRPr="009A4CE4" w:rsidP="009A4CE4" w14:paraId="2F589EDF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 (далее – исходный пул обеспечения),</w:t>
      </w:r>
    </w:p>
    <w:p w:rsidR="009A4CE4" w:rsidRPr="009A4CE4" w:rsidP="009A4CE4" w14:paraId="75D391E6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и БИК подразделения Банка России)</w:t>
      </w:r>
    </w:p>
    <w:p w:rsidR="009A4CE4" w:rsidRPr="009A4CE4" w:rsidP="009A4CE4" w14:paraId="509109EF" w14:textId="7476C5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в пул обеспечения, предназначенный для формирования обеспечения в целях получения кредитов на банковский счет Кредитной организации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9A4CE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__________________________________________________________, открытый в ____________________________________________:</w:t>
      </w:r>
    </w:p>
    <w:p w:rsidR="009A4CE4" w:rsidRPr="009A4CE4" w:rsidP="009A4CE4" w14:paraId="6736E685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и БИК подразделения Банка России)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</w:p>
    <w:p w:rsidR="009A4CE4" w:rsidRPr="009A4CE4" w:rsidP="009A4CE4" w14:paraId="40366E35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</w:p>
    <w:p w:rsidR="0069264C" w:rsidP="009A4CE4" w14:paraId="51C4D393" w14:textId="777759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264C" w:rsidP="009A4CE4" w14:paraId="38BDA089" w14:textId="1D02667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4EC3C72A" w14:textId="7E08236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все нерыночные активы, включенные в исходный пул обеспечения</w:t>
      </w:r>
      <w:r w:rsidR="00D71BA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A4CE4" w:rsidRPr="009A4CE4" w:rsidP="009A4CE4" w14:paraId="47BC8394" w14:textId="43E0BBF8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нерыночные активы, включенные в исходный пул обеспечения, которым Банком России присвоены следующие уникальные идентификационные номера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0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A4CE4" w:rsidRPr="009A4CE4" w:rsidP="009A4CE4" w14:paraId="26109F22" w14:textId="7777777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6956"/>
      </w:tblGrid>
      <w:tr w14:paraId="25409E0C" w14:textId="77777777" w:rsidTr="00751B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66" w:type="dxa"/>
          </w:tcPr>
          <w:p w:rsidR="009A4CE4" w:rsidRPr="009A4CE4" w:rsidP="009A4CE4" w14:paraId="66B59113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5E8B68CE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Уникальный идентификационный номер нерыночного актива</w:t>
            </w:r>
          </w:p>
        </w:tc>
      </w:tr>
      <w:tr w14:paraId="2C68B677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3AFC0BD3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725E72D8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55365AF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482CBF95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77BE947D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0A6567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4B70E887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459569D8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</w:tbl>
    <w:p w:rsidR="009A4CE4" w:rsidRPr="009A4CE4" w:rsidP="009A4CE4" w14:paraId="79E0E367" w14:textId="77777777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4380CF18" w14:textId="0177FB4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Дата, в которую планируется прекращение деятельности реорганизуемой кредитной организации, начиная с которой может быть осуществлен перевод нерыночных активов в пул обеспечения по основному счету Кредитной организации______________________________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1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4CE4" w:rsidRPr="009A4CE4" w:rsidP="009A4CE4" w14:paraId="3F959C1E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699300EA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Уполномоченное лицо Кредитной организации:</w:t>
      </w:r>
    </w:p>
    <w:p w:rsidR="009A4CE4" w:rsidRPr="009A4CE4" w:rsidP="009A4CE4" w14:paraId="4796FEED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06BEB5D9" w14:textId="777777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    ______________________       _______________________</w:t>
      </w:r>
    </w:p>
    <w:p w:rsidR="009A4CE4" w:rsidRPr="009A4CE4" w:rsidP="009A4CE4" w14:paraId="5D5300F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(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должность)   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(личная подпись)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(Ф.И.О.)</w:t>
      </w:r>
    </w:p>
    <w:p w:rsidR="009A4CE4" w:rsidRPr="009A4CE4" w:rsidP="009A4CE4" w14:paraId="5458502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9A4CE4" w:rsidRPr="009A4CE4" w:rsidP="009A4CE4" w14:paraId="5B08CFBF" w14:textId="12A3B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М.П.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2"/>
      </w:r>
    </w:p>
    <w:p w:rsidR="009A4CE4" w:rsidRPr="009A4CE4" w:rsidP="009A4CE4" w14:paraId="700F0B47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3B38" w:rsidP="009A4CE4" w14:paraId="5DA369C1" w14:textId="3378105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A4CE4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br w:type="page"/>
      </w:r>
    </w:p>
    <w:p w:rsidR="00D33B38" w:rsidP="009A4CE4" w14:paraId="4530DFBE" w14:textId="77777777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  <w:sectPr w:rsidSect="00D33B38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A4CE4" w:rsidRPr="00A1090E" w:rsidP="009A4CE4" w14:paraId="0278F6F2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</w:t>
      </w:r>
    </w:p>
    <w:p w:rsidR="009A4CE4" w:rsidRPr="00A1090E" w:rsidP="009A4CE4" w14:paraId="75A644C1" w14:textId="77777777">
      <w:pPr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090E">
        <w:rPr>
          <w:rFonts w:ascii="Times New Roman" w:eastAsia="Calibri" w:hAnsi="Times New Roman" w:cs="Times New Roman"/>
          <w:sz w:val="28"/>
          <w:szCs w:val="28"/>
          <w:lang w:eastAsia="ru-RU"/>
        </w:rPr>
        <w:t>к процедуре перевода прав требования по кредитным договорам между пулами обеспечения</w:t>
      </w:r>
    </w:p>
    <w:p w:rsidR="009A4CE4" w:rsidP="009A4CE4" w14:paraId="06A88BB7" w14:textId="5464AF8D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A51" w:rsidRPr="009A4CE4" w:rsidP="009A4CE4" w14:paraId="35AF8AC4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0B04AFBE" w14:textId="77777777">
      <w:pPr>
        <w:widowControl w:val="0"/>
        <w:suppressAutoHyphens/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 бланке Банка России)</w:t>
      </w:r>
    </w:p>
    <w:p w:rsidR="009A4CE4" w:rsidRPr="009A4CE4" w:rsidP="009A4CE4" w14:paraId="4DD6D1B5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9A4CE4" w:rsidRPr="009A4CE4" w:rsidP="009A4CE4" w14:paraId="4537E3BF" w14:textId="77777777">
      <w:pPr>
        <w:widowControl w:val="0"/>
        <w:suppressAutoHyphens/>
        <w:autoSpaceDE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9A4CE4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(наименование подразделения Банка России) </w:t>
      </w:r>
    </w:p>
    <w:p w:rsidR="009A4CE4" w:rsidRPr="009A4CE4" w:rsidP="009A4CE4" w14:paraId="0C28EBCF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4CE4" w:rsidRPr="009A4CE4" w:rsidP="009A4CE4" w14:paraId="18EB1A60" w14:textId="7777777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Уведомление о согласии на перевод (отказе в переводе) нерыночных активов между пулами обеспечения</w:t>
      </w:r>
    </w:p>
    <w:p w:rsidR="009A4CE4" w:rsidRPr="009A4CE4" w:rsidP="009A4CE4" w14:paraId="0E5F94DE" w14:textId="77777777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CE4" w:rsidRPr="009A4CE4" w:rsidP="009A4CE4" w14:paraId="03DEC0C6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>Банк России уведомляет _____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</w:t>
      </w:r>
    </w:p>
    <w:p w:rsidR="00740BAC" w:rsidP="00740BAC" w14:paraId="61DFE612" w14:textId="0B4EFC48">
      <w:pPr>
        <w:widowControl w:val="0"/>
        <w:suppressAutoHyphens/>
        <w:autoSpaceDE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A4C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9A4CE4" w:rsidRPr="009A4CE4" w:rsidP="00740BAC" w14:paraId="01878739" w14:textId="664CAA07">
      <w:pPr>
        <w:widowControl w:val="0"/>
        <w:suppressAutoHyphens/>
        <w:autoSpaceDE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4CE4">
        <w:rPr>
          <w:rFonts w:ascii="Times New Roman" w:eastAsia="Times New Roman" w:hAnsi="Times New Roman" w:cs="Times New Roman"/>
          <w:sz w:val="20"/>
          <w:szCs w:val="20"/>
          <w:lang w:eastAsia="zh-CN"/>
        </w:rPr>
        <w:t>и ее регистрационный номер, присвоенный Банком России)</w:t>
      </w:r>
    </w:p>
    <w:p w:rsidR="00B06400" w:rsidP="009A4CE4" w14:paraId="34783CFF" w14:textId="79D3DA20">
      <w:pPr>
        <w:spacing w:after="0" w:line="240" w:lineRule="auto"/>
        <w:jc w:val="both"/>
        <w:outlineLvl w:val="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>(далее – Кредитная организация), что в соответствии с Условиями проведения операций  по предоставлению и погашению кредитов Банка России, обеспеченных ценными бумагами или правами требования по кредитным договорам, договором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  <w:r w:rsidR="00122B38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(далее – нерыночные активы)</w:t>
      </w: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, </w:t>
      </w:r>
      <w:r w:rsidR="00122B38">
        <w:rPr>
          <w:rFonts w:ascii="Times New Roman CYR" w:eastAsia="Calibri" w:hAnsi="Times New Roman CYR" w:cs="Times New Roman CYR"/>
          <w:sz w:val="24"/>
          <w:szCs w:val="24"/>
          <w:lang w:eastAsia="ru-RU"/>
        </w:rPr>
        <w:br/>
        <w:t xml:space="preserve">от ____________ </w:t>
      </w: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>года № __________ и ходатайством о переводе нерыночных активов между пулами обеспечения от _______________года  № ___________ (далее – ходатайство о переводе)</w:t>
      </w:r>
      <w:r>
        <w:rPr>
          <w:rFonts w:ascii="Times New Roman CYR" w:eastAsia="Calibri" w:hAnsi="Times New Roman CYR" w:cs="Times New Roman CYR"/>
          <w:sz w:val="24"/>
          <w:szCs w:val="24"/>
          <w:lang w:eastAsia="ru-RU"/>
        </w:rPr>
        <w:t>:</w:t>
      </w: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</w:t>
      </w:r>
    </w:p>
    <w:p w:rsidR="00B06400" w:rsidP="00B06400" w14:paraId="38E3601E" w14:textId="7777777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пул обеспечения, формируемый в целях получения кредитов на банковский счет Кредитной организации № ____________________________, открытый в ____________________________________________:</w:t>
      </w:r>
    </w:p>
    <w:p w:rsidR="00B06400" w:rsidP="00B06400" w14:paraId="05EB3D03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(наименование и БИК подразделения Банка России)</w:t>
      </w:r>
    </w:p>
    <w:p w:rsidR="00B06400" w:rsidP="00B06400" w14:paraId="2C9054F6" w14:textId="0D907514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переведены </w:t>
      </w:r>
      <w:r w:rsidR="007775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позднее ____________________________года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нерыночные активы, которые включены в пул обеспечения, сформированный в целях получения кредитов на банковский счет 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Кредитной организации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3"/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№ ________________________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66844" w:rsidP="00666844" w14:paraId="3A545551" w14:textId="7EEA2DC7">
      <w:pPr>
        <w:widowControl w:val="0"/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B06400" w:rsidP="00666844" w14:paraId="13DDDADA" w14:textId="106F8FA3">
      <w:pPr>
        <w:widowControl w:val="0"/>
        <w:suppressAutoHyphens/>
        <w:autoSpaceDE w:val="0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и ее </w:t>
      </w:r>
      <w:r w:rsidR="00666844">
        <w:rPr>
          <w:rFonts w:ascii="Times New Roman" w:eastAsia="Times New Roman" w:hAnsi="Times New Roman" w:cs="Times New Roman"/>
          <w:sz w:val="20"/>
          <w:szCs w:val="20"/>
          <w:lang w:eastAsia="zh-CN"/>
        </w:rPr>
        <w:t>р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егистрационный номер, присвоенный Банком России)</w:t>
      </w:r>
    </w:p>
    <w:p w:rsidR="00B06400" w:rsidP="00B06400" w14:paraId="4121A008" w14:textId="7F2916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открытый в _____________________________________</w:t>
      </w:r>
      <w:r w:rsidR="00E16A51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4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06400" w:rsidP="00B06400" w14:paraId="42052DA5" w14:textId="729B1D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</w:t>
      </w:r>
      <w:r w:rsidR="0066684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и БИК подразделения Банка России)</w:t>
      </w:r>
    </w:p>
    <w:p w:rsidR="00666844" w:rsidP="00B06400" w14:paraId="3B73B37A" w14:textId="7CD5560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включены нерыночные активы, отобранные в залог по кредиту из пула обеспечения, сформированного в целях получения кредитов на банковский счет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Кредитной организации</w:t>
      </w:r>
      <w:r w:rsidRPr="0066684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 CYR" w:eastAsia="Calibri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 № 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__,</w:t>
      </w:r>
    </w:p>
    <w:p w:rsidR="00666844" w:rsidP="00666844" w14:paraId="16F44EA0" w14:textId="77777777">
      <w:pPr>
        <w:widowControl w:val="0"/>
        <w:suppressAutoHyphens/>
        <w:autoSpaceDE w:val="0"/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(полное фирменное наименование кредитной организации </w:t>
      </w:r>
    </w:p>
    <w:p w:rsidR="00666844" w:rsidP="00666844" w14:paraId="75954937" w14:textId="409D9206">
      <w:pPr>
        <w:widowControl w:val="0"/>
        <w:suppressAutoHyphens/>
        <w:autoSpaceDE w:val="0"/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и ее регистрационный номер, присвоенный Банком России)</w:t>
      </w:r>
    </w:p>
    <w:p w:rsidR="00B06400" w:rsidP="00B06400" w14:paraId="4A78C80F" w14:textId="7777777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открытый в _____________________________________, и находящиеся в залоге по данному </w:t>
      </w:r>
    </w:p>
    <w:p w:rsidR="00B06400" w:rsidP="00B06400" w14:paraId="169FC8B6" w14:textId="3B764D1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</w:t>
      </w:r>
      <w:r w:rsidR="00122B3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и БИК подразделения Банка России)</w:t>
      </w:r>
    </w:p>
    <w:p w:rsidR="00B06400" w:rsidP="00B06400" w14:paraId="0AE398C1" w14:textId="4BC9467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кредиту на дату полного фактического исполнения обязательств по нему, при исполнении указанных обязательств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5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06400" w:rsidP="00B06400" w14:paraId="57520014" w14:textId="5DACA3D7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будут переведены не позднее ____________________________года следующие нерыночные активы либо включены при их высвобождении из залога по кредиту Банка России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6"/>
      </w:r>
      <w:r w:rsidR="0066684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06400" w:rsidRPr="009A4CE4" w:rsidP="00B06400" w14:paraId="6FDCB79B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6956"/>
      </w:tblGrid>
      <w:tr w14:paraId="04E5BB21" w14:textId="77777777" w:rsidTr="00751B1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66" w:type="dxa"/>
          </w:tcPr>
          <w:p w:rsidR="009A4CE4" w:rsidRPr="009A4CE4" w:rsidP="009A4CE4" w14:paraId="46FA163E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03343519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Уникальный идентификационный номер нерыночного актива</w:t>
            </w:r>
          </w:p>
        </w:tc>
      </w:tr>
      <w:tr w14:paraId="665C363B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7C48998F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0837F91B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8BE6E60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7A9962D3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69714058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A447AA" w14:textId="77777777" w:rsidTr="00751B1B">
        <w:tblPrEx>
          <w:tblW w:w="0" w:type="auto"/>
          <w:tblLook w:val="04A0"/>
        </w:tblPrEx>
        <w:tc>
          <w:tcPr>
            <w:tcW w:w="2366" w:type="dxa"/>
          </w:tcPr>
          <w:p w:rsidR="009A4CE4" w:rsidRPr="009A4CE4" w:rsidP="009A4CE4" w14:paraId="7C9D1CC2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6" w:type="dxa"/>
            <w:shd w:val="clear" w:color="auto" w:fill="auto"/>
          </w:tcPr>
          <w:p w:rsidR="009A4CE4" w:rsidRPr="009A4CE4" w:rsidP="009A4CE4" w14:paraId="32652E0C" w14:textId="777777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C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</w:tbl>
    <w:p w:rsidR="009A4CE4" w:rsidRPr="009A4CE4" w:rsidP="009A4CE4" w14:paraId="2F5E45A3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A4CE4" w:rsidRPr="009A4CE4" w:rsidP="009A4CE4" w14:paraId="4EA241E0" w14:textId="1D69E6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отказывает Кредитной организации </w:t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в переводе в пул обеспечения нерыночных активов на основании ходатайства о переводе по следующей причине: ____________________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  <w:lang w:eastAsia="ru-RU"/>
        </w:rPr>
        <w:footnoteReference w:id="17"/>
      </w: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A4CE4" w:rsidRPr="009A4CE4" w:rsidP="009A4CE4" w14:paraId="41C6090A" w14:textId="7777777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4CE4" w:rsidRPr="009A4CE4" w:rsidP="009A4CE4" w14:paraId="6555963A" w14:textId="777777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    ______________________         _______________________</w:t>
      </w:r>
    </w:p>
    <w:p w:rsidR="009A4CE4" w:rsidRPr="009A4CE4" w:rsidP="009A4CE4" w14:paraId="1F7127DB" w14:textId="68530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(должность)</w:t>
      </w:r>
      <w:r>
        <w:rPr>
          <w:rStyle w:val="FootnoteReference"/>
          <w:rFonts w:ascii="Times New Roman" w:eastAsia="Calibri" w:hAnsi="Times New Roman" w:cs="Times New Roman"/>
          <w:sz w:val="20"/>
          <w:szCs w:val="24"/>
          <w:lang w:eastAsia="ru-RU"/>
        </w:rPr>
        <w:footnoteReference w:id="18"/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(личная подпись)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</w:t>
      </w:r>
      <w:r w:rsidRPr="009A4CE4">
        <w:rPr>
          <w:rFonts w:ascii="Times New Roman" w:eastAsia="Calibri" w:hAnsi="Times New Roman" w:cs="Times New Roman"/>
          <w:sz w:val="20"/>
          <w:szCs w:val="24"/>
          <w:lang w:eastAsia="ru-RU"/>
        </w:rPr>
        <w:tab/>
        <w:t xml:space="preserve">          (Ф.И.О.)</w:t>
      </w:r>
    </w:p>
    <w:sectPr w:rsidSect="00D33B38"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11FE5" w:rsidP="0029406B" w14:paraId="44404F80" w14:textId="77777777">
      <w:pPr>
        <w:spacing w:after="0" w:line="240" w:lineRule="auto"/>
      </w:pPr>
      <w:r>
        <w:separator/>
      </w:r>
    </w:p>
  </w:footnote>
  <w:footnote w:type="continuationSeparator" w:id="1">
    <w:p w:rsidR="00511FE5" w:rsidP="0029406B" w14:paraId="3B52EC88" w14:textId="77777777">
      <w:pPr>
        <w:spacing w:after="0" w:line="240" w:lineRule="auto"/>
      </w:pPr>
      <w:r>
        <w:continuationSeparator/>
      </w:r>
    </w:p>
  </w:footnote>
  <w:footnote w:id="2">
    <w:p w:rsidR="0029406B" w:rsidRPr="0029406B" w:rsidP="0029406B" w14:paraId="3BF96211" w14:textId="0D157330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29406B">
        <w:rPr>
          <w:rStyle w:val="FootnoteReference"/>
          <w:rFonts w:ascii="Times New Roman" w:hAnsi="Times New Roman" w:cs="Times New Roman"/>
        </w:rPr>
        <w:footnoteRef/>
      </w:r>
      <w:r w:rsidRPr="0029406B">
        <w:rPr>
          <w:rFonts w:ascii="Times New Roman" w:hAnsi="Times New Roman" w:cs="Times New Roman"/>
        </w:rPr>
        <w:t xml:space="preserve"> Под подразделением по работе с нерыночными активами в соответствии с настоящей процедурой понимается Департамент </w:t>
      </w:r>
      <w:r w:rsidR="005A3070">
        <w:rPr>
          <w:rFonts w:ascii="Times New Roman" w:hAnsi="Times New Roman" w:cs="Times New Roman"/>
        </w:rPr>
        <w:t>денежно-кредитной политики</w:t>
      </w:r>
      <w:r w:rsidRPr="0029406B">
        <w:rPr>
          <w:rFonts w:ascii="Times New Roman" w:hAnsi="Times New Roman" w:cs="Times New Roman"/>
        </w:rPr>
        <w:t xml:space="preserve"> или </w:t>
      </w:r>
      <w:r w:rsidR="005A3070">
        <w:rPr>
          <w:rFonts w:ascii="Times New Roman" w:hAnsi="Times New Roman" w:cs="Times New Roman"/>
        </w:rPr>
        <w:t>Ц</w:t>
      </w:r>
      <w:r w:rsidRPr="0029406B">
        <w:rPr>
          <w:rFonts w:ascii="Times New Roman" w:hAnsi="Times New Roman" w:cs="Times New Roman"/>
        </w:rPr>
        <w:t>ентр по работе с нерыночными активами</w:t>
      </w:r>
      <w:r w:rsidR="00614134">
        <w:rPr>
          <w:rFonts w:ascii="Times New Roman" w:hAnsi="Times New Roman" w:cs="Times New Roman"/>
        </w:rPr>
        <w:t xml:space="preserve"> </w:t>
      </w:r>
      <w:r w:rsidRPr="00614134" w:rsidR="00614134">
        <w:rPr>
          <w:rFonts w:ascii="Times New Roman" w:hAnsi="Times New Roman" w:cs="Times New Roman"/>
        </w:rPr>
        <w:t>в Воронеже и</w:t>
      </w:r>
      <w:r w:rsidR="003912D5">
        <w:rPr>
          <w:rFonts w:ascii="Times New Roman" w:hAnsi="Times New Roman" w:cs="Times New Roman"/>
        </w:rPr>
        <w:t>ли</w:t>
      </w:r>
      <w:r w:rsidRPr="00614134" w:rsidR="00614134">
        <w:rPr>
          <w:rFonts w:ascii="Times New Roman" w:hAnsi="Times New Roman" w:cs="Times New Roman"/>
        </w:rPr>
        <w:t xml:space="preserve"> Красноярске</w:t>
      </w:r>
      <w:r>
        <w:rPr>
          <w:rFonts w:ascii="Times New Roman" w:hAnsi="Times New Roman" w:cs="Times New Roman"/>
        </w:rPr>
        <w:t>.</w:t>
      </w:r>
    </w:p>
  </w:footnote>
  <w:footnote w:id="3">
    <w:p w:rsidR="000E1821" w:rsidRPr="000E1821" w:rsidP="000E1821" w14:paraId="6933FD64" w14:textId="139B75D1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0E1821">
        <w:rPr>
          <w:rStyle w:val="FootnoteReference"/>
          <w:rFonts w:ascii="Times New Roman" w:hAnsi="Times New Roman" w:cs="Times New Roman"/>
        </w:rPr>
        <w:footnoteRef/>
      </w:r>
      <w:r w:rsidRPr="000E1821">
        <w:rPr>
          <w:rFonts w:ascii="Times New Roman" w:hAnsi="Times New Roman" w:cs="Times New Roman"/>
        </w:rPr>
        <w:t xml:space="preserve"> </w:t>
      </w:r>
      <w:r w:rsidR="00D23B8D">
        <w:rPr>
          <w:rFonts w:ascii="Times New Roman" w:hAnsi="Times New Roman" w:cs="Times New Roman"/>
        </w:rPr>
        <w:t>Информация о снятии данного ограничения будет доведена дополнительно</w:t>
      </w:r>
      <w:r w:rsidRPr="000E1821">
        <w:rPr>
          <w:rFonts w:ascii="Times New Roman" w:hAnsi="Times New Roman" w:cs="Times New Roman"/>
        </w:rPr>
        <w:t>.</w:t>
      </w:r>
    </w:p>
  </w:footnote>
  <w:footnote w:id="4">
    <w:p w:rsidR="000E1821" w:rsidRPr="000E1821" w:rsidP="007A3EA4" w14:paraId="0A8CCFA8" w14:textId="77777777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0E1821">
        <w:rPr>
          <w:rStyle w:val="FootnoteReference"/>
          <w:rFonts w:ascii="Times New Roman" w:hAnsi="Times New Roman" w:cs="Times New Roman"/>
        </w:rPr>
        <w:footnoteRef/>
      </w:r>
      <w:r w:rsidRPr="000E1821">
        <w:rPr>
          <w:rFonts w:ascii="Times New Roman" w:hAnsi="Times New Roman" w:cs="Times New Roman"/>
        </w:rPr>
        <w:t xml:space="preserve"> </w:t>
      </w:r>
      <w:r w:rsidRPr="007A3EA4" w:rsidR="007A3EA4">
        <w:rPr>
          <w:rFonts w:ascii="Times New Roman" w:hAnsi="Times New Roman" w:cs="Times New Roman"/>
        </w:rPr>
        <w:t>Унифицированные форматы электронных банковских сообщений</w:t>
      </w:r>
      <w:r w:rsidR="007A3EA4">
        <w:rPr>
          <w:rFonts w:ascii="Times New Roman" w:hAnsi="Times New Roman" w:cs="Times New Roman"/>
        </w:rPr>
        <w:t xml:space="preserve">. </w:t>
      </w:r>
      <w:r w:rsidRPr="00CF114F" w:rsidR="007A3EA4">
        <w:rPr>
          <w:rFonts w:ascii="Times New Roman" w:hAnsi="Times New Roman"/>
          <w:noProof/>
        </w:rPr>
        <w:t>Электронный документооборот при обмене информацией о нерыночных активах, принимаемых в обеспечение по кредитам Банка России (ЭДО Активы)</w:t>
      </w:r>
      <w:r w:rsidR="009321C6">
        <w:rPr>
          <w:rFonts w:ascii="Times New Roman" w:hAnsi="Times New Roman"/>
          <w:noProof/>
        </w:rPr>
        <w:t>.</w:t>
      </w:r>
    </w:p>
  </w:footnote>
  <w:footnote w:id="5">
    <w:p w:rsidR="009321C6" w:rsidRPr="00A839C3" w:rsidP="00A839C3" w14:paraId="570709D7" w14:textId="77777777">
      <w:pPr>
        <w:pStyle w:val="FootnoteText"/>
        <w:ind w:firstLine="709"/>
        <w:jc w:val="both"/>
        <w:rPr>
          <w:rFonts w:ascii="Times New Roman" w:hAnsi="Times New Roman" w:cs="Times New Roman"/>
        </w:rPr>
      </w:pPr>
      <w:r w:rsidRPr="00A839C3">
        <w:rPr>
          <w:rStyle w:val="FootnoteReference"/>
          <w:rFonts w:ascii="Times New Roman" w:hAnsi="Times New Roman" w:cs="Times New Roman"/>
        </w:rPr>
        <w:footnoteRef/>
      </w:r>
      <w:r w:rsidRPr="00A839C3">
        <w:rPr>
          <w:rFonts w:ascii="Times New Roman" w:hAnsi="Times New Roman" w:cs="Times New Roman"/>
        </w:rPr>
        <w:t xml:space="preserve"> О дате запуска перевода </w:t>
      </w:r>
      <w:r w:rsidR="0065218F">
        <w:rPr>
          <w:rFonts w:ascii="Times New Roman" w:hAnsi="Times New Roman" w:cs="Times New Roman"/>
        </w:rPr>
        <w:t>в рамках одной кредитной организации</w:t>
      </w:r>
      <w:r w:rsidRPr="00A839C3">
        <w:rPr>
          <w:rFonts w:ascii="Times New Roman" w:hAnsi="Times New Roman" w:cs="Times New Roman"/>
        </w:rPr>
        <w:t xml:space="preserve"> будет сообщено дополнительно.</w:t>
      </w:r>
    </w:p>
  </w:footnote>
  <w:footnote w:id="6">
    <w:p w:rsidR="00D33B38" w:rsidRPr="0069264C" w:rsidP="0069264C" w14:paraId="12D30705" w14:textId="40A2464F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может быть включен в ходатайство, если перевод нерыночных активов между пулами обеспечения одной кредитной организации предусмотрен процедурой перевода прав требования по кредитным договорам между пулами обеспечения.</w:t>
      </w:r>
    </w:p>
  </w:footnote>
  <w:footnote w:id="7">
    <w:p w:rsidR="00D33B38" w:rsidRPr="0069264C" w:rsidP="0069264C" w14:paraId="7B002A51" w14:textId="64F9C6CC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Абзац включается в ходатайство, если оно предусматривает перевод нерыночных активов в рамках реорганизации кредитной организации в форме присоединения.</w:t>
      </w:r>
    </w:p>
  </w:footnote>
  <w:footnote w:id="8">
    <w:p w:rsidR="00D33B38" w:rsidRPr="0069264C" w:rsidP="0069264C" w14:paraId="07A127BD" w14:textId="261608DC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Указывается «Кредитная организация», если тип ходатайства «перевод рамках одной кредитной организации».</w:t>
      </w:r>
    </w:p>
  </w:footnote>
  <w:footnote w:id="9">
    <w:p w:rsidR="0069264C" w:rsidRPr="0069264C" w:rsidP="0069264C" w14:paraId="486DA65A" w14:textId="3A4B61CE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Указывается полное фирменное наименование реорганизуемой кредитной организации и ее регистрационный номер, присвоенный Банком России, если тип ходатайства «перевод в рамках реорганизации кредитной организации».</w:t>
      </w:r>
    </w:p>
  </w:footnote>
  <w:footnote w:id="10">
    <w:p w:rsidR="0069264C" w:rsidRPr="0069264C" w:rsidP="0069264C" w14:paraId="2ADB019A" w14:textId="058F1054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и соответствующая таблица могут быть указаны для ходатайства, имеющего тип «перевод в рамках одной кредитной организации».</w:t>
      </w:r>
    </w:p>
  </w:footnote>
  <w:footnote w:id="11">
    <w:p w:rsidR="0069264C" w:rsidRPr="0069264C" w:rsidP="0069264C" w14:paraId="15054537" w14:textId="1C5EC4FB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</w:t>
      </w:r>
      <w:r w:rsidRPr="0069264C">
        <w:rPr>
          <w:rFonts w:ascii="Times New Roman" w:eastAsia="Calibri" w:hAnsi="Times New Roman" w:cs="Times New Roman"/>
          <w:sz w:val="18"/>
          <w:szCs w:val="18"/>
          <w:lang w:eastAsia="ru-RU"/>
        </w:rPr>
        <w:t>Абзац должен быть указан для ходатайства, имеющего тип «перевод в рамках реорганизации кредитной организации».</w:t>
      </w:r>
    </w:p>
  </w:footnote>
  <w:footnote w:id="12">
    <w:p w:rsidR="0069264C" w:rsidRPr="0069264C" w:rsidP="0069264C" w14:paraId="2D4091C0" w14:textId="28D064AB">
      <w:pPr>
        <w:pStyle w:val="FootnoteText"/>
        <w:ind w:firstLine="709"/>
        <w:rPr>
          <w:rFonts w:ascii="Times New Roman" w:hAnsi="Times New Roman" w:cs="Times New Roman"/>
          <w:sz w:val="18"/>
          <w:szCs w:val="18"/>
        </w:rPr>
      </w:pPr>
      <w:r w:rsidRPr="006926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264C">
        <w:rPr>
          <w:rFonts w:ascii="Times New Roman" w:hAnsi="Times New Roman" w:cs="Times New Roman"/>
          <w:sz w:val="18"/>
          <w:szCs w:val="18"/>
        </w:rPr>
        <w:t xml:space="preserve"> При наличии у Кредитной организации печати.</w:t>
      </w:r>
    </w:p>
  </w:footnote>
  <w:footnote w:id="13">
    <w:p w:rsidR="00666844" w:rsidRPr="00666844" w:rsidP="00666844" w14:paraId="79E841E6" w14:textId="30A363DF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6684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66844">
        <w:rPr>
          <w:rFonts w:ascii="Times New Roman" w:hAnsi="Times New Roman" w:cs="Times New Roman"/>
          <w:sz w:val="18"/>
          <w:szCs w:val="18"/>
        </w:rPr>
        <w:t xml:space="preserve"> Указывается «Кредитная организация», если перевод </w:t>
      </w:r>
      <w:r w:rsidR="009E34FC">
        <w:rPr>
          <w:rFonts w:ascii="Times New Roman" w:hAnsi="Times New Roman" w:cs="Times New Roman"/>
          <w:sz w:val="18"/>
          <w:szCs w:val="18"/>
        </w:rPr>
        <w:t xml:space="preserve">осуществляется в </w:t>
      </w:r>
      <w:r w:rsidRPr="00666844">
        <w:rPr>
          <w:rFonts w:ascii="Times New Roman" w:hAnsi="Times New Roman" w:cs="Times New Roman"/>
          <w:sz w:val="18"/>
          <w:szCs w:val="18"/>
        </w:rPr>
        <w:t>рамках одной кредитной организации</w:t>
      </w:r>
      <w:bookmarkStart w:id="0" w:name="_GoBack"/>
      <w:bookmarkEnd w:id="0"/>
      <w:r w:rsidRPr="00666844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:rsidR="00E16A51" w:rsidRPr="00E16A51" w:rsidP="00E16A51" w14:paraId="1605957A" w14:textId="2C279220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 в случае перевода всех нерыночных активов, включенных в исходный пул обеспечения.</w:t>
      </w:r>
    </w:p>
  </w:footnote>
  <w:footnote w:id="15">
    <w:p w:rsidR="00E16A51" w:rsidP="00E16A51" w14:paraId="67EBBA5E" w14:textId="1C82E64B">
      <w:pPr>
        <w:pStyle w:val="FootnoteText"/>
        <w:ind w:firstLine="709"/>
        <w:jc w:val="both"/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 с даты принятия Банком России решения о возможности включения в новый пул обеспечения нерыночных активов, отобранных в залог по кредиту из исходного пула обеспечения (дополнительно к переводу всех нерыночных активов между пулами обеспечения).</w:t>
      </w:r>
    </w:p>
  </w:footnote>
  <w:footnote w:id="16">
    <w:p w:rsidR="00E16A51" w:rsidRPr="00E16A51" w:rsidP="00E16A51" w14:paraId="6D40A58D" w14:textId="2A5BFB93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и соответствующая таблица включаются в уведомление, если Банком России принято решение о направлении информации об уникальных идентификационных номерах нерыночных активов в составе уведомления.</w:t>
      </w:r>
    </w:p>
  </w:footnote>
  <w:footnote w:id="17">
    <w:p w:rsidR="00E16A51" w:rsidRPr="00E16A51" w:rsidP="00E16A51" w14:paraId="7CFCD1E8" w14:textId="13EEBF2E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Абзац включается в уведомление, если по ходатайству о переводе направляется уведомление об отказе в переводе нерыночных активов между пулами обеспечения (абзацы второй-пятый при этом не включаются в уведомление).</w:t>
      </w:r>
    </w:p>
  </w:footnote>
  <w:footnote w:id="18">
    <w:p w:rsidR="00E16A51" w:rsidRPr="00E16A51" w:rsidP="00E16A51" w14:paraId="55B3B6D5" w14:textId="191CD669">
      <w:pPr>
        <w:pStyle w:val="FootnoteTex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6A5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16A51">
        <w:rPr>
          <w:rFonts w:ascii="Times New Roman" w:hAnsi="Times New Roman" w:cs="Times New Roman"/>
          <w:sz w:val="18"/>
          <w:szCs w:val="18"/>
        </w:rPr>
        <w:t xml:space="preserve"> Указываются наименование должности, фамилия и инициалы уполномоченного должностного лица Банка России и проставляется его подпись.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2888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1B0C" w:rsidRPr="006A1B0C" w14:paraId="311F6BC7" w14:textId="069CDF5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1B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1B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1B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4F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A1B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1B0C" w14:paraId="1D7690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8C"/>
    <w:rsid w:val="00004F42"/>
    <w:rsid w:val="00007B4D"/>
    <w:rsid w:val="00045317"/>
    <w:rsid w:val="00050402"/>
    <w:rsid w:val="00081120"/>
    <w:rsid w:val="0009360D"/>
    <w:rsid w:val="000E00D5"/>
    <w:rsid w:val="000E1821"/>
    <w:rsid w:val="00106824"/>
    <w:rsid w:val="001103BF"/>
    <w:rsid w:val="00122B38"/>
    <w:rsid w:val="00122CE4"/>
    <w:rsid w:val="00124B1C"/>
    <w:rsid w:val="00175F19"/>
    <w:rsid w:val="00176CC2"/>
    <w:rsid w:val="001912B0"/>
    <w:rsid w:val="00191C4E"/>
    <w:rsid w:val="001B7110"/>
    <w:rsid w:val="001C06BB"/>
    <w:rsid w:val="001C562C"/>
    <w:rsid w:val="001D14DD"/>
    <w:rsid w:val="001E65F6"/>
    <w:rsid w:val="001F637B"/>
    <w:rsid w:val="00246986"/>
    <w:rsid w:val="00270205"/>
    <w:rsid w:val="00291410"/>
    <w:rsid w:val="0029406B"/>
    <w:rsid w:val="002A3880"/>
    <w:rsid w:val="002D0660"/>
    <w:rsid w:val="002E27BD"/>
    <w:rsid w:val="002F1E15"/>
    <w:rsid w:val="003059BC"/>
    <w:rsid w:val="003200EB"/>
    <w:rsid w:val="00356C62"/>
    <w:rsid w:val="003912D5"/>
    <w:rsid w:val="00394966"/>
    <w:rsid w:val="003D7694"/>
    <w:rsid w:val="003E1130"/>
    <w:rsid w:val="003F0C2F"/>
    <w:rsid w:val="003F18A1"/>
    <w:rsid w:val="003F5E64"/>
    <w:rsid w:val="003F64D7"/>
    <w:rsid w:val="00405B7C"/>
    <w:rsid w:val="00415F9E"/>
    <w:rsid w:val="0042344A"/>
    <w:rsid w:val="00430911"/>
    <w:rsid w:val="004B2CFB"/>
    <w:rsid w:val="004B78F4"/>
    <w:rsid w:val="004C27D4"/>
    <w:rsid w:val="004D6D98"/>
    <w:rsid w:val="004E7332"/>
    <w:rsid w:val="00511FE5"/>
    <w:rsid w:val="00533C1B"/>
    <w:rsid w:val="00537D3A"/>
    <w:rsid w:val="005401F0"/>
    <w:rsid w:val="00543614"/>
    <w:rsid w:val="00583EC8"/>
    <w:rsid w:val="005A3070"/>
    <w:rsid w:val="005F1D4C"/>
    <w:rsid w:val="005F3B4C"/>
    <w:rsid w:val="00614134"/>
    <w:rsid w:val="00620DA7"/>
    <w:rsid w:val="006308BB"/>
    <w:rsid w:val="00641605"/>
    <w:rsid w:val="0065218F"/>
    <w:rsid w:val="006540E0"/>
    <w:rsid w:val="00666844"/>
    <w:rsid w:val="0069058E"/>
    <w:rsid w:val="0069264C"/>
    <w:rsid w:val="006A1B0C"/>
    <w:rsid w:val="006A64ED"/>
    <w:rsid w:val="006E3903"/>
    <w:rsid w:val="006F61D2"/>
    <w:rsid w:val="007100EF"/>
    <w:rsid w:val="00740425"/>
    <w:rsid w:val="00740BAC"/>
    <w:rsid w:val="007775AE"/>
    <w:rsid w:val="00781F0E"/>
    <w:rsid w:val="007A3EA4"/>
    <w:rsid w:val="007D15CF"/>
    <w:rsid w:val="007E70E5"/>
    <w:rsid w:val="007F1F35"/>
    <w:rsid w:val="00820AE9"/>
    <w:rsid w:val="00871EF3"/>
    <w:rsid w:val="0087240D"/>
    <w:rsid w:val="00885521"/>
    <w:rsid w:val="008A1DA2"/>
    <w:rsid w:val="008A7F84"/>
    <w:rsid w:val="008C00AD"/>
    <w:rsid w:val="008D01A4"/>
    <w:rsid w:val="008E4386"/>
    <w:rsid w:val="00903292"/>
    <w:rsid w:val="00917504"/>
    <w:rsid w:val="009321C6"/>
    <w:rsid w:val="00933D31"/>
    <w:rsid w:val="00945773"/>
    <w:rsid w:val="00957DD3"/>
    <w:rsid w:val="00962318"/>
    <w:rsid w:val="009704FE"/>
    <w:rsid w:val="009957DF"/>
    <w:rsid w:val="009A4CE4"/>
    <w:rsid w:val="009E3449"/>
    <w:rsid w:val="009E34FC"/>
    <w:rsid w:val="009E4055"/>
    <w:rsid w:val="00A1090E"/>
    <w:rsid w:val="00A326EB"/>
    <w:rsid w:val="00A839C3"/>
    <w:rsid w:val="00AC609B"/>
    <w:rsid w:val="00AE5B7F"/>
    <w:rsid w:val="00B06400"/>
    <w:rsid w:val="00B40C8B"/>
    <w:rsid w:val="00B70876"/>
    <w:rsid w:val="00B81331"/>
    <w:rsid w:val="00BA3B31"/>
    <w:rsid w:val="00BF6D28"/>
    <w:rsid w:val="00C13DED"/>
    <w:rsid w:val="00C16F1D"/>
    <w:rsid w:val="00C304D6"/>
    <w:rsid w:val="00C70288"/>
    <w:rsid w:val="00C7496E"/>
    <w:rsid w:val="00C95D3A"/>
    <w:rsid w:val="00CA0D5B"/>
    <w:rsid w:val="00CA2649"/>
    <w:rsid w:val="00CC1EBF"/>
    <w:rsid w:val="00CF114F"/>
    <w:rsid w:val="00CF3137"/>
    <w:rsid w:val="00D06D9F"/>
    <w:rsid w:val="00D23B8D"/>
    <w:rsid w:val="00D33B38"/>
    <w:rsid w:val="00D36E78"/>
    <w:rsid w:val="00D40120"/>
    <w:rsid w:val="00D5325D"/>
    <w:rsid w:val="00D71BAD"/>
    <w:rsid w:val="00DB1CCD"/>
    <w:rsid w:val="00DC7E85"/>
    <w:rsid w:val="00DF5787"/>
    <w:rsid w:val="00E16A51"/>
    <w:rsid w:val="00E20965"/>
    <w:rsid w:val="00E420CF"/>
    <w:rsid w:val="00E850C7"/>
    <w:rsid w:val="00E8766F"/>
    <w:rsid w:val="00E96B70"/>
    <w:rsid w:val="00EB4CD8"/>
    <w:rsid w:val="00EB7A33"/>
    <w:rsid w:val="00ED48B7"/>
    <w:rsid w:val="00ED788C"/>
    <w:rsid w:val="00EF46F6"/>
    <w:rsid w:val="00F1694B"/>
    <w:rsid w:val="00F667F1"/>
    <w:rsid w:val="00F957D9"/>
    <w:rsid w:val="00F97C5E"/>
    <w:rsid w:val="00FE3CF8"/>
    <w:rsid w:val="00FF3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0C56C"/>
  <w15:chartTrackingRefBased/>
  <w15:docId w15:val="{6857EAE0-0DD1-4165-A4A8-9FE103C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Normal"/>
    <w:rsid w:val="009704FE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9406B"/>
    <w:pPr>
      <w:ind w:left="720"/>
      <w:contextualSpacing/>
    </w:pPr>
  </w:style>
  <w:style w:type="paragraph" w:styleId="FootnoteText">
    <w:name w:val="footnote text"/>
    <w:basedOn w:val="Normal"/>
    <w:link w:val="a"/>
    <w:uiPriority w:val="99"/>
    <w:semiHidden/>
    <w:unhideWhenUsed/>
    <w:rsid w:val="0029406B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294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406B"/>
    <w:rPr>
      <w:vertAlign w:val="superscript"/>
    </w:rPr>
  </w:style>
  <w:style w:type="paragraph" w:styleId="Header">
    <w:name w:val="header"/>
    <w:basedOn w:val="Normal"/>
    <w:link w:val="a0"/>
    <w:uiPriority w:val="99"/>
    <w:unhideWhenUsed/>
    <w:rsid w:val="006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A1B0C"/>
  </w:style>
  <w:style w:type="paragraph" w:styleId="Footer">
    <w:name w:val="footer"/>
    <w:basedOn w:val="Normal"/>
    <w:link w:val="a1"/>
    <w:uiPriority w:val="99"/>
    <w:unhideWhenUsed/>
    <w:rsid w:val="006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A1B0C"/>
  </w:style>
  <w:style w:type="paragraph" w:styleId="BalloonText">
    <w:name w:val="Balloon Text"/>
    <w:basedOn w:val="Normal"/>
    <w:link w:val="a2"/>
    <w:uiPriority w:val="99"/>
    <w:semiHidden/>
    <w:unhideWhenUsed/>
    <w:rsid w:val="004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C27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7D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4C27D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4C2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4C27D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4C27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65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5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cbr.ru/oper_br/t_odm/secured_loans/conditions_2022-06-20/" TargetMode="External" /><Relationship Id="rId7" Type="http://schemas.openxmlformats.org/officeDocument/2006/relationships/hyperlink" Target="http://www.cbr.ru/lk_uio/guide/elektronnyy-dokumentooborot-po-operaciyam-denezhno-kreditnoy-politiki-banka-rossii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4CD6-2ED1-4ED7-98F3-09AB63BB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2511</Words>
  <Characters>14317</Characters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2026-04-01T15:22:00Z</dcterms:created>
  <dcterms:modified xsi:type="dcterms:W3CDTF">2026-04-21T12:26:00Z</dcterms:modified>
</cp:coreProperties>
</file>