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A9" w:rsidRPr="001E54DE" w:rsidRDefault="001E36A9" w:rsidP="0010163E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E36A9" w:rsidRDefault="001E36A9" w:rsidP="0010163E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Банка России</w:t>
      </w:r>
    </w:p>
    <w:p w:rsidR="00966191" w:rsidRPr="00966191" w:rsidRDefault="00966191" w:rsidP="00966191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6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Условия</w:t>
      </w:r>
    </w:p>
    <w:p w:rsidR="00966191" w:rsidRPr="00966191" w:rsidRDefault="00966191" w:rsidP="00966191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банковского обслуживания</w:t>
      </w:r>
    </w:p>
    <w:p w:rsidR="00966191" w:rsidRDefault="00966191" w:rsidP="00966191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кредитных организаций»</w:t>
      </w:r>
    </w:p>
    <w:p w:rsidR="00966191" w:rsidRPr="001E54DE" w:rsidRDefault="00966191" w:rsidP="0010163E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C1" w:rsidRDefault="00A47AC1" w:rsidP="00A47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425" w:rsidRDefault="00A47AC1" w:rsidP="00A47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нижеперечисленные пункты Условий комплексного банковского обслуживания в следующей редакции:</w:t>
      </w:r>
    </w:p>
    <w:p w:rsidR="000B3C8D" w:rsidRDefault="000B3C8D" w:rsidP="001E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C8D" w:rsidRPr="009B187C" w:rsidRDefault="000B3C8D" w:rsidP="000B3C8D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B187C">
        <w:rPr>
          <w:rFonts w:asciiTheme="majorBidi" w:eastAsia="Times New Roman" w:hAnsiTheme="majorBidi" w:cstheme="majorBidi"/>
          <w:sz w:val="28"/>
          <w:szCs w:val="28"/>
        </w:rPr>
        <w:t>Представляет в Банк Перечень, содержащий:</w:t>
      </w:r>
    </w:p>
    <w:p w:rsidR="000B3C8D" w:rsidRPr="0059084C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наименование, БИК и Счет Клиента – уполномоченного филиала;</w:t>
      </w:r>
    </w:p>
    <w:p w:rsidR="000B3C8D" w:rsidRPr="0059084C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наименования, БИК и Счета каждого централизованного филиала;</w:t>
      </w:r>
    </w:p>
    <w:p w:rsidR="000B3C8D" w:rsidRPr="0059084C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дату (даты) начала обмена уполномоченным филиалом за централизованные филиалы, указанные в Перечне.</w:t>
      </w:r>
    </w:p>
    <w:p w:rsidR="000B3C8D" w:rsidRPr="0059084C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Перечень представляется одним из указанных ниже способов, доступных Клиенту:</w:t>
      </w:r>
    </w:p>
    <w:p w:rsidR="000B3C8D" w:rsidRPr="0059084C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с использованием личного кабинета;</w:t>
      </w:r>
    </w:p>
    <w:p w:rsidR="000B3C8D" w:rsidRPr="0059084C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письмом на бумажном носителе, подписанным руководителем Клиента (лицом, его замещающим) или уполномоченным Клиентом лицом и заверенным печатью (при наличии) (если Клиент не имеет технической возможности направить сообщение с использованием личного кабинета).</w:t>
      </w:r>
    </w:p>
    <w:p w:rsidR="000B3C8D" w:rsidRPr="0059084C" w:rsidRDefault="000B3C8D" w:rsidP="000B3C8D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left="0" w:firstLine="69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Перечень, в том числе в случае изменения состава уполномоченных и (или) централизованных филиалов, может быть представлен кредитной организацией.</w:t>
      </w:r>
    </w:p>
    <w:p w:rsidR="000B3C8D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В этом случае Перечень подписывается руководителем кредитной организации (его заместителем) или лицом, уполномоченным руководителем на подписание такого Перечня, и </w:t>
      </w:r>
      <w:r w:rsidRPr="009B187C">
        <w:rPr>
          <w:rFonts w:asciiTheme="majorBidi" w:eastAsia="Times New Roman" w:hAnsiTheme="majorBidi" w:cstheme="majorBidi"/>
          <w:sz w:val="28"/>
          <w:szCs w:val="28"/>
        </w:rPr>
        <w:t>представляется в Банк.</w:t>
      </w:r>
    </w:p>
    <w:p w:rsidR="001E36A9" w:rsidRDefault="000B3C8D" w:rsidP="000B3C8D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Перечень содержит информацию, предусмотренную </w:t>
      </w:r>
      <w:r w:rsidRPr="0059084C">
        <w:rPr>
          <w:rFonts w:asciiTheme="majorBidi" w:eastAsia="Times New Roman" w:hAnsiTheme="majorBidi" w:cstheme="majorBidi"/>
          <w:color w:val="0070C0"/>
          <w:sz w:val="28"/>
          <w:szCs w:val="28"/>
        </w:rPr>
        <w:t>подпунктом 5.3.1.3 настоящих Условий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, и представляется одним из способов, указанных в </w:t>
      </w:r>
      <w:r w:rsidRPr="0059084C">
        <w:rPr>
          <w:rFonts w:asciiTheme="majorBidi" w:eastAsia="Times New Roman" w:hAnsiTheme="majorBidi" w:cstheme="majorBidi"/>
          <w:color w:val="0070C0"/>
          <w:sz w:val="28"/>
          <w:szCs w:val="28"/>
        </w:rPr>
        <w:t>подпункте 5.3.1.3 настоящих Условий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, доступных кредитной организации.</w:t>
      </w:r>
    </w:p>
    <w:p w:rsidR="00231EB0" w:rsidRPr="0059084C" w:rsidRDefault="00231EB0" w:rsidP="00231EB0">
      <w:pPr>
        <w:pStyle w:val="a3"/>
        <w:numPr>
          <w:ilvl w:val="0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Клиент для участия в обмене ЭС в качестве централизованного филиала направляет в </w:t>
      </w:r>
      <w:r w:rsidRPr="009B187C">
        <w:rPr>
          <w:rFonts w:asciiTheme="majorBidi" w:eastAsia="Times New Roman" w:hAnsiTheme="majorBidi" w:cstheme="majorBidi"/>
          <w:sz w:val="28"/>
          <w:szCs w:val="28"/>
        </w:rPr>
        <w:t>Банк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 обращение в произвольной форме с указанием:</w:t>
      </w:r>
    </w:p>
    <w:p w:rsidR="00231EB0" w:rsidRPr="0059084C" w:rsidRDefault="00231EB0" w:rsidP="00231EB0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контактных данных работников, уполномоченных взаимодействовать с Банком по вопросам подготовки к участию в обмене ЭС;</w:t>
      </w:r>
    </w:p>
    <w:p w:rsidR="00231EB0" w:rsidRPr="0059084C" w:rsidRDefault="00231EB0" w:rsidP="00231EB0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информации об уполномоченном филиале с указанием его наименования, БИК и номера счета, а также даты начала обмена уполномоченным филиалом за Клиента.</w:t>
      </w:r>
    </w:p>
    <w:p w:rsidR="000B3C8D" w:rsidRDefault="00231EB0" w:rsidP="00231EB0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Обращение в произвольной форме направляется Клиентом одним из способов, указанных в </w:t>
      </w:r>
      <w:r w:rsidRPr="0059084C">
        <w:rPr>
          <w:rFonts w:asciiTheme="majorBidi" w:eastAsia="Times New Roman" w:hAnsiTheme="majorBidi" w:cstheme="majorBidi"/>
          <w:color w:val="0070C0"/>
          <w:sz w:val="28"/>
          <w:szCs w:val="28"/>
        </w:rPr>
        <w:t>подпункте 5.3.1.3 настоящих Условий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, доступных Клиенту.</w:t>
      </w:r>
    </w:p>
    <w:p w:rsidR="004B54CD" w:rsidRDefault="004B54CD" w:rsidP="00CB61A8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Для направления Банком Клиенту в электронном виде извещений об операциях зачисления и списания денежных средств на корреспондентский счет (</w:t>
      </w:r>
      <w:proofErr w:type="spellStart"/>
      <w:r w:rsidRPr="0059084C">
        <w:rPr>
          <w:rFonts w:asciiTheme="majorBidi" w:eastAsia="Times New Roman" w:hAnsiTheme="majorBidi" w:cstheme="majorBidi"/>
          <w:sz w:val="28"/>
          <w:szCs w:val="28"/>
        </w:rPr>
        <w:t>субсчет</w:t>
      </w:r>
      <w:proofErr w:type="spellEnd"/>
      <w:r w:rsidRPr="0059084C">
        <w:rPr>
          <w:rFonts w:asciiTheme="majorBidi" w:eastAsia="Times New Roman" w:hAnsiTheme="majorBidi" w:cstheme="majorBidi"/>
          <w:sz w:val="28"/>
          <w:szCs w:val="28"/>
        </w:rPr>
        <w:t>) кредитной организации (ее филиала) с ограниченным режимом функционирования, а также исполненных распоряжений Клиент представляет в Банк обращение с указанием следующего:</w:t>
      </w:r>
    </w:p>
    <w:p w:rsidR="004B54CD" w:rsidRDefault="004B54CD" w:rsidP="004B54CD">
      <w:pPr>
        <w:tabs>
          <w:tab w:val="left" w:pos="1418"/>
          <w:tab w:val="left" w:pos="198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БИК и номера корреспондентского счета (</w:t>
      </w:r>
      <w:proofErr w:type="spellStart"/>
      <w:r w:rsidRPr="0059084C">
        <w:rPr>
          <w:rFonts w:asciiTheme="majorBidi" w:eastAsia="Times New Roman" w:hAnsiTheme="majorBidi" w:cstheme="majorBidi"/>
          <w:sz w:val="28"/>
          <w:szCs w:val="28"/>
        </w:rPr>
        <w:t>субсчета</w:t>
      </w:r>
      <w:proofErr w:type="spellEnd"/>
      <w:r w:rsidRPr="0059084C">
        <w:rPr>
          <w:rFonts w:asciiTheme="majorBidi" w:eastAsia="Times New Roman" w:hAnsiTheme="majorBidi" w:cstheme="majorBidi"/>
          <w:sz w:val="28"/>
          <w:szCs w:val="28"/>
        </w:rPr>
        <w:t>) с ограниченным режимом функционирования, по которому необходимо получение Клиентом извещений, распоряжений;</w:t>
      </w:r>
    </w:p>
    <w:p w:rsidR="004B54CD" w:rsidRPr="0059084C" w:rsidRDefault="004B54CD" w:rsidP="004B54CD">
      <w:pPr>
        <w:pStyle w:val="a3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наименования кредитной организации (филиала</w:t>
      </w:r>
      <w:r w:rsidRPr="007C2B04">
        <w:rPr>
          <w:rFonts w:asciiTheme="majorBidi" w:eastAsia="Times New Roman" w:hAnsiTheme="majorBidi" w:cstheme="majorBidi"/>
          <w:sz w:val="28"/>
          <w:szCs w:val="28"/>
        </w:rPr>
        <w:t>) и наименования подразделения Банка;</w:t>
      </w:r>
    </w:p>
    <w:p w:rsidR="004B54CD" w:rsidRPr="0059084C" w:rsidRDefault="004B54CD" w:rsidP="004B54CD">
      <w:pPr>
        <w:pStyle w:val="a3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информации о дате начала и дате окончания срока сохранения счета с ограниченным режимом функционирования и его закрытия.</w:t>
      </w:r>
    </w:p>
    <w:p w:rsidR="004B54CD" w:rsidRPr="0059084C" w:rsidRDefault="004B54CD" w:rsidP="004B54CD">
      <w:pPr>
        <w:pStyle w:val="a3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К обращению прилагаются:</w:t>
      </w:r>
    </w:p>
    <w:p w:rsidR="004B54CD" w:rsidRPr="0059084C" w:rsidRDefault="004B54CD" w:rsidP="004B54CD">
      <w:pPr>
        <w:pStyle w:val="a3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копия обращения (заявления) о временном сохранении корреспондентского счета (</w:t>
      </w:r>
      <w:proofErr w:type="spellStart"/>
      <w:r w:rsidRPr="0059084C">
        <w:rPr>
          <w:rFonts w:asciiTheme="majorBidi" w:eastAsia="Times New Roman" w:hAnsiTheme="majorBidi" w:cstheme="majorBidi"/>
          <w:sz w:val="28"/>
          <w:szCs w:val="28"/>
        </w:rPr>
        <w:t>субсчета</w:t>
      </w:r>
      <w:proofErr w:type="spellEnd"/>
      <w:r w:rsidRPr="0059084C">
        <w:rPr>
          <w:rFonts w:asciiTheme="majorBidi" w:eastAsia="Times New Roman" w:hAnsiTheme="majorBidi" w:cstheme="majorBidi"/>
          <w:sz w:val="28"/>
          <w:szCs w:val="28"/>
        </w:rPr>
        <w:t>) кредитной организации (ее филиала) в Банке с ограниченным режимом функционирования;</w:t>
      </w:r>
    </w:p>
    <w:p w:rsidR="004B54CD" w:rsidRPr="0059084C" w:rsidRDefault="004B54CD" w:rsidP="004B54CD">
      <w:pPr>
        <w:pStyle w:val="a3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функционирования.</w:t>
      </w:r>
    </w:p>
    <w:p w:rsidR="004B54CD" w:rsidRDefault="004B54CD" w:rsidP="004B54CD">
      <w:pPr>
        <w:tabs>
          <w:tab w:val="left" w:pos="1418"/>
          <w:tab w:val="left" w:pos="198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Клиент направляет обращение одним из способов, указанных в </w:t>
      </w:r>
      <w:r w:rsidRPr="0059084C">
        <w:rPr>
          <w:rFonts w:asciiTheme="majorBidi" w:eastAsia="Times New Roman" w:hAnsiTheme="majorBidi" w:cstheme="majorBidi"/>
          <w:color w:val="0070C0"/>
          <w:sz w:val="28"/>
          <w:szCs w:val="28"/>
        </w:rPr>
        <w:t>подпункте 5.3.1.3 настоящих Условий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, доступных Клиенту.</w:t>
      </w:r>
    </w:p>
    <w:p w:rsidR="004B54CD" w:rsidRPr="001E36A9" w:rsidRDefault="004B54CD" w:rsidP="004B54CD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84C">
        <w:rPr>
          <w:rFonts w:asciiTheme="majorBidi" w:eastAsia="Times New Roman" w:hAnsiTheme="majorBidi" w:cstheme="majorBidi"/>
          <w:sz w:val="28"/>
          <w:szCs w:val="28"/>
        </w:rPr>
        <w:t>Банк информирует Клиента о дате начала направления в электронном виде</w:t>
      </w:r>
      <w:r w:rsidRPr="0059084C" w:rsidDel="00F272C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извещений об операциях зачисления и списания денежных средств</w:t>
      </w:r>
      <w:r w:rsidRPr="0059084C" w:rsidDel="00F272C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по счету (</w:t>
      </w:r>
      <w:proofErr w:type="spellStart"/>
      <w:r w:rsidRPr="0059084C">
        <w:rPr>
          <w:rFonts w:asciiTheme="majorBidi" w:eastAsia="Times New Roman" w:hAnsiTheme="majorBidi" w:cstheme="majorBidi"/>
          <w:sz w:val="28"/>
          <w:szCs w:val="28"/>
        </w:rPr>
        <w:t>субсчету</w:t>
      </w:r>
      <w:proofErr w:type="spellEnd"/>
      <w:r w:rsidRPr="0059084C">
        <w:rPr>
          <w:rFonts w:asciiTheme="majorBidi" w:eastAsia="Times New Roman" w:hAnsiTheme="majorBidi" w:cstheme="majorBidi"/>
          <w:sz w:val="28"/>
          <w:szCs w:val="28"/>
        </w:rPr>
        <w:t xml:space="preserve">) с ограниченным режимом функционирования, а также исполненных распоряжений в произвольной форме одним из способов, указанных в </w:t>
      </w:r>
      <w:r w:rsidRPr="0059084C">
        <w:rPr>
          <w:rFonts w:asciiTheme="majorBidi" w:eastAsia="Times New Roman" w:hAnsiTheme="majorBidi" w:cstheme="majorBidi"/>
          <w:color w:val="0070C0"/>
          <w:sz w:val="28"/>
          <w:szCs w:val="28"/>
        </w:rPr>
        <w:t>пункте 2.7 настоящих Условий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, доступных Клиенту.</w:t>
      </w:r>
    </w:p>
    <w:sectPr w:rsidR="004B54CD" w:rsidRPr="001E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887"/>
    <w:multiLevelType w:val="hybridMultilevel"/>
    <w:tmpl w:val="972E2858"/>
    <w:lvl w:ilvl="0" w:tplc="5DE6A05A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2241A"/>
    <w:multiLevelType w:val="hybridMultilevel"/>
    <w:tmpl w:val="2B4EB1C8"/>
    <w:lvl w:ilvl="0" w:tplc="B4221E6A">
      <w:start w:val="3"/>
      <w:numFmt w:val="decimal"/>
      <w:lvlText w:val="5.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71D9F"/>
    <w:multiLevelType w:val="multilevel"/>
    <w:tmpl w:val="A4DE54A2"/>
    <w:lvl w:ilvl="0">
      <w:start w:val="2"/>
      <w:numFmt w:val="decimal"/>
      <w:lvlText w:val="5.5.28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16"/>
    <w:rsid w:val="000B3C8D"/>
    <w:rsid w:val="0010163E"/>
    <w:rsid w:val="001E36A9"/>
    <w:rsid w:val="00230B79"/>
    <w:rsid w:val="00231EB0"/>
    <w:rsid w:val="00322BE9"/>
    <w:rsid w:val="004B54CD"/>
    <w:rsid w:val="006F12F4"/>
    <w:rsid w:val="00966191"/>
    <w:rsid w:val="00A11425"/>
    <w:rsid w:val="00A47AC1"/>
    <w:rsid w:val="00CB61A8"/>
    <w:rsid w:val="00DA4916"/>
    <w:rsid w:val="00E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AE257-E29E-44F7-9701-E004E0C8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2_точки,Table-Normal,RSHB_Table-Normal"/>
    <w:basedOn w:val="a"/>
    <w:link w:val="a4"/>
    <w:uiPriority w:val="34"/>
    <w:qFormat/>
    <w:rsid w:val="000B3C8D"/>
    <w:pPr>
      <w:ind w:left="720"/>
      <w:contextualSpacing/>
    </w:pPr>
  </w:style>
  <w:style w:type="character" w:customStyle="1" w:styleId="a4">
    <w:name w:val="Абзац списка Знак"/>
    <w:aliases w:val="Bullets Знак,2_точки Знак,Table-Normal Знак,RSHB_Table-Normal Знак"/>
    <w:basedOn w:val="a0"/>
    <w:link w:val="a3"/>
    <w:uiPriority w:val="34"/>
    <w:locked/>
    <w:rsid w:val="000B3C8D"/>
  </w:style>
  <w:style w:type="paragraph" w:styleId="a5">
    <w:name w:val="Balloon Text"/>
    <w:basedOn w:val="a"/>
    <w:link w:val="a6"/>
    <w:uiPriority w:val="99"/>
    <w:semiHidden/>
    <w:unhideWhenUsed/>
    <w:rsid w:val="00A47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2025-07-01T06:49:00Z</dcterms:created>
  <dcterms:modified xsi:type="dcterms:W3CDTF">2025-07-01T13:38:00Z</dcterms:modified>
</cp:coreProperties>
</file>