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3F1" w:rsidRDefault="00AD0413">
      <w:pPr>
        <w:pStyle w:val="20"/>
        <w:spacing w:line="360" w:lineRule="exact"/>
        <w:ind w:left="5387" w:right="-381"/>
        <w:rPr>
          <w:sz w:val="26"/>
        </w:rPr>
      </w:pPr>
      <w:bookmarkStart w:id="0" w:name="_GoBack"/>
      <w:bookmarkEnd w:id="0"/>
      <w:r>
        <w:rPr>
          <w:sz w:val="26"/>
        </w:rPr>
        <w:t>САДД БР</w:t>
      </w:r>
    </w:p>
    <w:p w:rsidR="007D29F5" w:rsidRDefault="007D29F5">
      <w:pPr>
        <w:pStyle w:val="20"/>
        <w:spacing w:line="360" w:lineRule="exact"/>
        <w:ind w:left="5387" w:right="-381"/>
        <w:rPr>
          <w:sz w:val="26"/>
        </w:rPr>
      </w:pPr>
    </w:p>
    <w:tbl>
      <w:tblPr>
        <w:tblW w:w="978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3"/>
        <w:gridCol w:w="143"/>
        <w:gridCol w:w="1844"/>
        <w:gridCol w:w="425"/>
        <w:gridCol w:w="2127"/>
        <w:gridCol w:w="4820"/>
      </w:tblGrid>
      <w:tr w:rsidR="009B0802" w:rsidRPr="00003987" w:rsidTr="00970EF7">
        <w:tc>
          <w:tcPr>
            <w:tcW w:w="4962" w:type="dxa"/>
            <w:gridSpan w:val="5"/>
          </w:tcPr>
          <w:p w:rsidR="000A48B8" w:rsidRDefault="007A4048" w:rsidP="000A48B8">
            <w:pPr>
              <w:pStyle w:val="3"/>
              <w:jc w:val="left"/>
              <w:rPr>
                <w:b/>
                <w:bCs/>
                <w:szCs w:val="24"/>
              </w:rPr>
            </w:pPr>
            <w:r>
              <w:rPr>
                <w:b/>
                <w:noProof/>
              </w:rPr>
              <w:object w:dxaOrig="1440" w:dyaOrig="1440" w14:anchorId="0B2B60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50pt;margin-top:0;width:89.25pt;height:95.25pt;z-index:251659264;mso-position-horizontal-relative:margin;mso-position-vertical-relative:margin" fillcolor="window">
                  <v:imagedata r:id="rId13" o:title=""/>
                  <w10:wrap type="square" anchorx="margin" anchory="margin"/>
                </v:shape>
                <o:OLEObject Type="Embed" ProgID="Word.Picture.8" ShapeID="_x0000_s1027" DrawAspect="Content" ObjectID="_1711221218" r:id="rId14"/>
              </w:object>
            </w:r>
            <w:r w:rsidR="00B2525D">
              <w:rPr>
                <w:b/>
                <w:bCs/>
                <w:szCs w:val="24"/>
              </w:rPr>
              <w:t xml:space="preserve">           </w:t>
            </w:r>
          </w:p>
          <w:p w:rsidR="000A48B8" w:rsidRDefault="000A48B8" w:rsidP="000A48B8">
            <w:pPr>
              <w:pStyle w:val="3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    </w:t>
            </w:r>
          </w:p>
          <w:p w:rsidR="000A48B8" w:rsidRDefault="000A48B8" w:rsidP="000A48B8">
            <w:pPr>
              <w:pStyle w:val="3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          </w:t>
            </w:r>
          </w:p>
          <w:p w:rsidR="000A48B8" w:rsidRDefault="000A48B8" w:rsidP="000A48B8">
            <w:pPr>
              <w:pStyle w:val="3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 </w:t>
            </w:r>
          </w:p>
          <w:p w:rsidR="000A48B8" w:rsidRDefault="000A48B8" w:rsidP="000A48B8">
            <w:pPr>
              <w:pStyle w:val="3"/>
              <w:jc w:val="left"/>
              <w:rPr>
                <w:b/>
                <w:bCs/>
                <w:szCs w:val="24"/>
              </w:rPr>
            </w:pPr>
          </w:p>
          <w:p w:rsidR="000A48B8" w:rsidRDefault="000A48B8" w:rsidP="000A48B8">
            <w:pPr>
              <w:pStyle w:val="3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</w:t>
            </w:r>
          </w:p>
          <w:p w:rsidR="000A48B8" w:rsidRDefault="000A48B8" w:rsidP="000A48B8">
            <w:pPr>
              <w:pStyle w:val="3"/>
              <w:jc w:val="left"/>
              <w:rPr>
                <w:b/>
                <w:bCs/>
                <w:szCs w:val="24"/>
              </w:rPr>
            </w:pPr>
          </w:p>
          <w:p w:rsidR="000A48B8" w:rsidRDefault="000A48B8" w:rsidP="000A48B8">
            <w:pPr>
              <w:pStyle w:val="3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     </w:t>
            </w:r>
          </w:p>
          <w:p w:rsidR="009B0802" w:rsidRPr="000A48B8" w:rsidRDefault="000A48B8" w:rsidP="000A48B8">
            <w:pPr>
              <w:pStyle w:val="3"/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      </w:t>
            </w:r>
            <w:r w:rsidR="009B0802" w:rsidRPr="003636AE">
              <w:rPr>
                <w:b/>
                <w:bCs/>
                <w:sz w:val="22"/>
                <w:szCs w:val="22"/>
              </w:rPr>
              <w:t>ЦЕНТРАЛЬНЫЙ БАНК</w:t>
            </w:r>
          </w:p>
          <w:p w:rsidR="009B0802" w:rsidRPr="003636AE" w:rsidRDefault="00B2525D" w:rsidP="00B2525D">
            <w:pPr>
              <w:pStyle w:val="3"/>
              <w:jc w:val="left"/>
              <w:rPr>
                <w:b/>
                <w:bCs/>
                <w:sz w:val="22"/>
                <w:szCs w:val="22"/>
              </w:rPr>
            </w:pPr>
            <w:r w:rsidRPr="003636AE">
              <w:rPr>
                <w:b/>
                <w:bCs/>
                <w:sz w:val="22"/>
                <w:szCs w:val="22"/>
              </w:rPr>
              <w:t xml:space="preserve">       </w:t>
            </w:r>
            <w:r w:rsidR="009B0802" w:rsidRPr="003636AE">
              <w:rPr>
                <w:b/>
                <w:bCs/>
                <w:sz w:val="22"/>
                <w:szCs w:val="22"/>
              </w:rPr>
              <w:t>РОССИЙСКОЙ ФЕДЕРАЦИИ</w:t>
            </w:r>
          </w:p>
          <w:p w:rsidR="009B0802" w:rsidRPr="003636AE" w:rsidRDefault="00447C17" w:rsidP="00B2525D">
            <w:pPr>
              <w:tabs>
                <w:tab w:val="left" w:pos="1134"/>
              </w:tabs>
              <w:spacing w:line="360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           </w:t>
            </w:r>
            <w:r w:rsidR="009B0802" w:rsidRPr="003636AE">
              <w:rPr>
                <w:b/>
                <w:bCs/>
                <w:sz w:val="22"/>
                <w:szCs w:val="22"/>
                <w:lang w:eastAsia="en-US"/>
              </w:rPr>
              <w:t>(</w:t>
            </w:r>
            <w:r>
              <w:rPr>
                <w:b/>
                <w:bCs/>
                <w:sz w:val="22"/>
                <w:szCs w:val="22"/>
                <w:lang w:eastAsia="en-US"/>
              </w:rPr>
              <w:t>БАНК РОССИИ</w:t>
            </w:r>
            <w:r w:rsidR="009B0802" w:rsidRPr="003636AE">
              <w:rPr>
                <w:b/>
                <w:bCs/>
                <w:sz w:val="22"/>
                <w:szCs w:val="22"/>
                <w:lang w:eastAsia="en-US"/>
              </w:rPr>
              <w:t>)</w:t>
            </w:r>
          </w:p>
          <w:p w:rsidR="002575E9" w:rsidRPr="002E1EC3" w:rsidRDefault="002575E9" w:rsidP="002575E9">
            <w:pPr>
              <w:tabs>
                <w:tab w:val="left" w:pos="1134"/>
              </w:tabs>
              <w:spacing w:line="360" w:lineRule="auto"/>
              <w:rPr>
                <w:b/>
                <w:bCs/>
                <w:sz w:val="18"/>
                <w:szCs w:val="18"/>
                <w:lang w:eastAsia="en-US"/>
              </w:rPr>
            </w:pPr>
            <w:r w:rsidRPr="002E1EC3">
              <w:rPr>
                <w:b/>
                <w:sz w:val="18"/>
                <w:szCs w:val="18"/>
              </w:rPr>
              <w:t>ПЕРВЫЙ ЗАМЕСТИТЕЛЬ ПРЕДСЕДАТЕЛЯ</w:t>
            </w:r>
          </w:p>
          <w:p w:rsidR="009B0802" w:rsidRDefault="00B2525D" w:rsidP="00BE1C2D">
            <w:pPr>
              <w:tabs>
                <w:tab w:val="left" w:pos="1134"/>
              </w:tabs>
              <w:spacing w:before="60" w:line="160" w:lineRule="exact"/>
              <w:ind w:left="-108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                  </w:t>
            </w:r>
            <w:r w:rsidR="009B0802" w:rsidRPr="0093777C">
              <w:rPr>
                <w:bCs/>
                <w:sz w:val="18"/>
                <w:szCs w:val="18"/>
                <w:lang w:eastAsia="en-US"/>
              </w:rPr>
              <w:t>107016, Москва, ул. Неглинная, 12</w:t>
            </w:r>
          </w:p>
          <w:p w:rsidR="00BE1C2D" w:rsidRPr="00BE1C2D" w:rsidRDefault="00BE1C2D" w:rsidP="00BE1C2D">
            <w:pPr>
              <w:tabs>
                <w:tab w:val="left" w:pos="1134"/>
              </w:tabs>
              <w:spacing w:before="60" w:line="160" w:lineRule="exact"/>
              <w:ind w:left="-108"/>
              <w:rPr>
                <w:bCs/>
                <w:sz w:val="18"/>
                <w:szCs w:val="18"/>
                <w:lang w:eastAsia="en-US"/>
              </w:rPr>
            </w:pPr>
            <w:r w:rsidRPr="00BE1C2D">
              <w:rPr>
                <w:bCs/>
                <w:sz w:val="18"/>
                <w:szCs w:val="18"/>
                <w:lang w:eastAsia="en-US"/>
              </w:rPr>
              <w:t xml:space="preserve">                                   </w:t>
            </w:r>
            <w:hyperlink r:id="rId15" w:history="1">
              <w:r w:rsidRPr="00BE1C2D">
                <w:rPr>
                  <w:rStyle w:val="a9"/>
                  <w:bCs/>
                  <w:color w:val="auto"/>
                  <w:sz w:val="18"/>
                  <w:szCs w:val="18"/>
                  <w:u w:val="none"/>
                  <w:lang w:val="en-US" w:eastAsia="en-US"/>
                </w:rPr>
                <w:t>www</w:t>
              </w:r>
              <w:r w:rsidRPr="00BE1C2D">
                <w:rPr>
                  <w:rStyle w:val="a9"/>
                  <w:bCs/>
                  <w:color w:val="auto"/>
                  <w:sz w:val="18"/>
                  <w:szCs w:val="18"/>
                  <w:u w:val="none"/>
                  <w:lang w:eastAsia="en-US"/>
                </w:rPr>
                <w:t>.</w:t>
              </w:r>
              <w:r w:rsidRPr="00BE1C2D">
                <w:rPr>
                  <w:rStyle w:val="a9"/>
                  <w:bCs/>
                  <w:color w:val="auto"/>
                  <w:sz w:val="18"/>
                  <w:szCs w:val="18"/>
                  <w:u w:val="none"/>
                  <w:lang w:val="en-US" w:eastAsia="en-US"/>
                </w:rPr>
                <w:t>cbr</w:t>
              </w:r>
              <w:r w:rsidRPr="00BE1C2D">
                <w:rPr>
                  <w:rStyle w:val="a9"/>
                  <w:bCs/>
                  <w:color w:val="auto"/>
                  <w:sz w:val="18"/>
                  <w:szCs w:val="18"/>
                  <w:u w:val="none"/>
                  <w:lang w:eastAsia="en-US"/>
                </w:rPr>
                <w:t>.</w:t>
              </w:r>
              <w:r w:rsidRPr="00BE1C2D">
                <w:rPr>
                  <w:rStyle w:val="a9"/>
                  <w:bCs/>
                  <w:color w:val="auto"/>
                  <w:sz w:val="18"/>
                  <w:szCs w:val="18"/>
                  <w:u w:val="none"/>
                  <w:lang w:val="en-US" w:eastAsia="en-US"/>
                </w:rPr>
                <w:t>ru</w:t>
              </w:r>
            </w:hyperlink>
          </w:p>
          <w:p w:rsidR="00BE1C2D" w:rsidRPr="00BE1C2D" w:rsidRDefault="00385A7B" w:rsidP="00BE1C2D">
            <w:pPr>
              <w:tabs>
                <w:tab w:val="left" w:pos="1134"/>
              </w:tabs>
              <w:spacing w:before="60" w:line="160" w:lineRule="exact"/>
              <w:ind w:left="-108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               </w:t>
            </w:r>
            <w:r w:rsidRPr="0005702F">
              <w:rPr>
                <w:sz w:val="18"/>
                <w:szCs w:val="18"/>
              </w:rPr>
              <w:t>тел.</w:t>
            </w:r>
            <w:r>
              <w:rPr>
                <w:sz w:val="18"/>
                <w:szCs w:val="18"/>
              </w:rPr>
              <w:t>:</w:t>
            </w:r>
            <w:r w:rsidRPr="0005702F">
              <w:rPr>
                <w:sz w:val="18"/>
                <w:szCs w:val="18"/>
              </w:rPr>
              <w:t xml:space="preserve"> (499) 300-30-00</w:t>
            </w:r>
            <w:r>
              <w:rPr>
                <w:sz w:val="18"/>
                <w:szCs w:val="18"/>
              </w:rPr>
              <w:t>, 8 (800) 300-30-00</w:t>
            </w:r>
          </w:p>
        </w:tc>
        <w:tc>
          <w:tcPr>
            <w:tcW w:w="4820" w:type="dxa"/>
            <w:vMerge w:val="restart"/>
          </w:tcPr>
          <w:p w:rsidR="00B72D16" w:rsidRDefault="00B72D16" w:rsidP="00110E6B">
            <w:pPr>
              <w:ind w:left="209"/>
              <w:rPr>
                <w:sz w:val="24"/>
                <w:szCs w:val="24"/>
              </w:rPr>
            </w:pPr>
          </w:p>
          <w:p w:rsidR="00110E6B" w:rsidRDefault="00110E6B" w:rsidP="00110E6B">
            <w:pPr>
              <w:ind w:left="209"/>
              <w:rPr>
                <w:sz w:val="24"/>
                <w:szCs w:val="24"/>
              </w:rPr>
            </w:pPr>
          </w:p>
          <w:p w:rsidR="00110E6B" w:rsidRDefault="00110E6B" w:rsidP="00110E6B">
            <w:pPr>
              <w:ind w:left="209"/>
              <w:rPr>
                <w:sz w:val="24"/>
                <w:szCs w:val="24"/>
              </w:rPr>
            </w:pPr>
          </w:p>
          <w:p w:rsidR="00110E6B" w:rsidRDefault="00110E6B" w:rsidP="00110E6B">
            <w:pPr>
              <w:ind w:left="209"/>
              <w:rPr>
                <w:sz w:val="24"/>
                <w:szCs w:val="24"/>
              </w:rPr>
            </w:pPr>
          </w:p>
          <w:p w:rsidR="00110E6B" w:rsidRDefault="00110E6B" w:rsidP="00110E6B">
            <w:pPr>
              <w:ind w:left="209"/>
              <w:rPr>
                <w:sz w:val="24"/>
                <w:szCs w:val="24"/>
              </w:rPr>
            </w:pPr>
          </w:p>
          <w:p w:rsidR="00110E6B" w:rsidRDefault="00110E6B" w:rsidP="00110E6B">
            <w:pPr>
              <w:ind w:left="209"/>
              <w:rPr>
                <w:sz w:val="24"/>
                <w:szCs w:val="24"/>
              </w:rPr>
            </w:pPr>
          </w:p>
          <w:p w:rsidR="00110E6B" w:rsidRDefault="00110E6B" w:rsidP="00110E6B">
            <w:pPr>
              <w:ind w:left="209"/>
              <w:rPr>
                <w:sz w:val="24"/>
                <w:szCs w:val="24"/>
              </w:rPr>
            </w:pPr>
          </w:p>
          <w:p w:rsidR="00110E6B" w:rsidRDefault="00110E6B" w:rsidP="00110E6B">
            <w:pPr>
              <w:ind w:left="209"/>
              <w:rPr>
                <w:sz w:val="24"/>
                <w:szCs w:val="24"/>
              </w:rPr>
            </w:pPr>
          </w:p>
          <w:p w:rsidR="00110E6B" w:rsidRPr="00A637A3" w:rsidRDefault="00110E6B" w:rsidP="00A30277">
            <w:pPr>
              <w:spacing w:line="276" w:lineRule="auto"/>
              <w:ind w:left="209"/>
              <w:rPr>
                <w:szCs w:val="28"/>
              </w:rPr>
            </w:pPr>
            <w:r w:rsidRPr="00A637A3">
              <w:rPr>
                <w:szCs w:val="28"/>
              </w:rPr>
              <w:t xml:space="preserve">Территориальные учреждения </w:t>
            </w:r>
          </w:p>
          <w:p w:rsidR="00110E6B" w:rsidRPr="00A637A3" w:rsidRDefault="00110E6B" w:rsidP="00A30277">
            <w:pPr>
              <w:spacing w:line="276" w:lineRule="auto"/>
              <w:ind w:left="209"/>
              <w:rPr>
                <w:szCs w:val="28"/>
              </w:rPr>
            </w:pPr>
            <w:r w:rsidRPr="00A637A3">
              <w:rPr>
                <w:szCs w:val="28"/>
              </w:rPr>
              <w:t>Банка России</w:t>
            </w:r>
          </w:p>
          <w:p w:rsidR="00110E6B" w:rsidRPr="00A637A3" w:rsidRDefault="00110E6B" w:rsidP="00A30277">
            <w:pPr>
              <w:spacing w:line="276" w:lineRule="auto"/>
              <w:ind w:left="209"/>
              <w:rPr>
                <w:szCs w:val="28"/>
              </w:rPr>
            </w:pPr>
          </w:p>
          <w:p w:rsidR="00110E6B" w:rsidRPr="00A637A3" w:rsidRDefault="00110E6B" w:rsidP="00A30277">
            <w:pPr>
              <w:spacing w:line="276" w:lineRule="auto"/>
              <w:ind w:left="209"/>
              <w:rPr>
                <w:szCs w:val="28"/>
              </w:rPr>
            </w:pPr>
            <w:r w:rsidRPr="00A637A3">
              <w:rPr>
                <w:szCs w:val="28"/>
              </w:rPr>
              <w:t>Полевые учреждения</w:t>
            </w:r>
          </w:p>
          <w:p w:rsidR="00110E6B" w:rsidRPr="00A637A3" w:rsidRDefault="00860290" w:rsidP="00A30277">
            <w:pPr>
              <w:spacing w:line="276" w:lineRule="auto"/>
              <w:ind w:left="209"/>
              <w:rPr>
                <w:szCs w:val="28"/>
              </w:rPr>
            </w:pPr>
            <w:r w:rsidRPr="00A637A3">
              <w:rPr>
                <w:szCs w:val="28"/>
              </w:rPr>
              <w:t>Банка России</w:t>
            </w:r>
          </w:p>
          <w:p w:rsidR="00110E6B" w:rsidRPr="00B72D16" w:rsidRDefault="00110E6B" w:rsidP="00110E6B">
            <w:pPr>
              <w:rPr>
                <w:sz w:val="24"/>
                <w:szCs w:val="24"/>
              </w:rPr>
            </w:pPr>
          </w:p>
        </w:tc>
      </w:tr>
      <w:tr w:rsidR="009B0802" w:rsidRPr="00003987" w:rsidTr="00970EF7">
        <w:trPr>
          <w:cantSplit/>
        </w:trPr>
        <w:tc>
          <w:tcPr>
            <w:tcW w:w="423" w:type="dxa"/>
            <w:vAlign w:val="bottom"/>
          </w:tcPr>
          <w:p w:rsidR="009B0802" w:rsidRPr="00DB6E41" w:rsidRDefault="00970EF7" w:rsidP="009078E3">
            <w:pPr>
              <w:ind w:hanging="10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9B0802" w:rsidRPr="00DB6E41">
              <w:rPr>
                <w:sz w:val="20"/>
              </w:rPr>
              <w:t>от</w:t>
            </w:r>
          </w:p>
        </w:tc>
        <w:tc>
          <w:tcPr>
            <w:tcW w:w="1987" w:type="dxa"/>
            <w:gridSpan w:val="2"/>
          </w:tcPr>
          <w:p w:rsidR="009B0802" w:rsidRPr="00DB6E41" w:rsidRDefault="009B0802" w:rsidP="00970EF7">
            <w:pPr>
              <w:tabs>
                <w:tab w:val="left" w:pos="1134"/>
              </w:tabs>
              <w:spacing w:before="120"/>
              <w:ind w:right="-108" w:hanging="248"/>
              <w:jc w:val="center"/>
              <w:rPr>
                <w:sz w:val="20"/>
              </w:rPr>
            </w:pPr>
            <w:r w:rsidRPr="00DB6E41">
              <w:rPr>
                <w:sz w:val="20"/>
              </w:rPr>
              <w:t>_____________</w:t>
            </w:r>
            <w:r w:rsidR="00970EF7">
              <w:rPr>
                <w:sz w:val="20"/>
              </w:rPr>
              <w:t>______</w:t>
            </w:r>
          </w:p>
        </w:tc>
        <w:tc>
          <w:tcPr>
            <w:tcW w:w="425" w:type="dxa"/>
            <w:vAlign w:val="bottom"/>
          </w:tcPr>
          <w:p w:rsidR="009B0802" w:rsidRPr="00DB6E41" w:rsidRDefault="009B0802" w:rsidP="00F00D8E">
            <w:pPr>
              <w:tabs>
                <w:tab w:val="left" w:pos="1134"/>
              </w:tabs>
              <w:spacing w:before="120"/>
              <w:rPr>
                <w:sz w:val="20"/>
              </w:rPr>
            </w:pPr>
            <w:r w:rsidRPr="00DB6E41">
              <w:rPr>
                <w:sz w:val="20"/>
              </w:rPr>
              <w:t>№</w:t>
            </w:r>
          </w:p>
        </w:tc>
        <w:tc>
          <w:tcPr>
            <w:tcW w:w="2127" w:type="dxa"/>
          </w:tcPr>
          <w:p w:rsidR="009B0802" w:rsidRPr="00DB6E41" w:rsidRDefault="00737910" w:rsidP="00EC606B">
            <w:pPr>
              <w:tabs>
                <w:tab w:val="left" w:pos="1134"/>
              </w:tabs>
              <w:spacing w:before="120"/>
              <w:ind w:right="-106" w:hanging="115"/>
              <w:rPr>
                <w:sz w:val="20"/>
              </w:rPr>
            </w:pPr>
            <w:r w:rsidRPr="00DB6E41">
              <w:rPr>
                <w:sz w:val="20"/>
              </w:rPr>
              <w:t>______________</w:t>
            </w:r>
          </w:p>
        </w:tc>
        <w:tc>
          <w:tcPr>
            <w:tcW w:w="4820" w:type="dxa"/>
            <w:vMerge/>
          </w:tcPr>
          <w:p w:rsidR="009B0802" w:rsidRDefault="009B0802" w:rsidP="00EC606B">
            <w:pPr>
              <w:tabs>
                <w:tab w:val="left" w:pos="1134"/>
              </w:tabs>
              <w:spacing w:before="120"/>
              <w:ind w:right="-106" w:hanging="115"/>
            </w:pPr>
          </w:p>
        </w:tc>
      </w:tr>
      <w:tr w:rsidR="009B0802" w:rsidRPr="00003987" w:rsidTr="00970EF7">
        <w:trPr>
          <w:cantSplit/>
          <w:trHeight w:val="347"/>
        </w:trPr>
        <w:tc>
          <w:tcPr>
            <w:tcW w:w="566" w:type="dxa"/>
            <w:gridSpan w:val="2"/>
          </w:tcPr>
          <w:p w:rsidR="009B0802" w:rsidRPr="00DB6E41" w:rsidRDefault="00970EF7" w:rsidP="009078E3">
            <w:pPr>
              <w:tabs>
                <w:tab w:val="left" w:pos="1134"/>
              </w:tabs>
              <w:spacing w:before="120"/>
              <w:ind w:right="-110" w:hanging="108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9B0802" w:rsidRPr="00DB6E41">
              <w:rPr>
                <w:sz w:val="20"/>
              </w:rPr>
              <w:t>на №</w:t>
            </w:r>
          </w:p>
        </w:tc>
        <w:tc>
          <w:tcPr>
            <w:tcW w:w="1844" w:type="dxa"/>
          </w:tcPr>
          <w:p w:rsidR="009B0802" w:rsidRPr="00DB6E41" w:rsidRDefault="009B0802" w:rsidP="009B0802">
            <w:pPr>
              <w:tabs>
                <w:tab w:val="left" w:pos="1134"/>
              </w:tabs>
              <w:spacing w:before="120"/>
              <w:ind w:right="-250" w:hanging="108"/>
              <w:rPr>
                <w:sz w:val="20"/>
              </w:rPr>
            </w:pPr>
            <w:r w:rsidRPr="00DB6E41">
              <w:rPr>
                <w:sz w:val="20"/>
              </w:rPr>
              <w:t>_______________</w:t>
            </w:r>
            <w:r w:rsidR="00970EF7">
              <w:rPr>
                <w:sz w:val="20"/>
              </w:rPr>
              <w:t xml:space="preserve">__ </w:t>
            </w:r>
          </w:p>
        </w:tc>
        <w:tc>
          <w:tcPr>
            <w:tcW w:w="425" w:type="dxa"/>
          </w:tcPr>
          <w:p w:rsidR="009B0802" w:rsidRPr="00DB6E41" w:rsidRDefault="009B0802" w:rsidP="00AA7C67">
            <w:pPr>
              <w:tabs>
                <w:tab w:val="left" w:pos="1134"/>
              </w:tabs>
              <w:spacing w:before="120"/>
              <w:ind w:hanging="108"/>
              <w:rPr>
                <w:sz w:val="20"/>
              </w:rPr>
            </w:pPr>
            <w:r w:rsidRPr="00DB6E41">
              <w:rPr>
                <w:sz w:val="20"/>
              </w:rPr>
              <w:t xml:space="preserve"> </w:t>
            </w:r>
            <w:r w:rsidR="00970EF7">
              <w:rPr>
                <w:sz w:val="20"/>
              </w:rPr>
              <w:t xml:space="preserve"> </w:t>
            </w:r>
            <w:r w:rsidRPr="00DB6E41">
              <w:rPr>
                <w:sz w:val="20"/>
              </w:rPr>
              <w:t>от</w:t>
            </w:r>
          </w:p>
        </w:tc>
        <w:tc>
          <w:tcPr>
            <w:tcW w:w="2127" w:type="dxa"/>
          </w:tcPr>
          <w:p w:rsidR="00EB5216" w:rsidRPr="00DB6E41" w:rsidRDefault="00737910" w:rsidP="00EB5216">
            <w:pPr>
              <w:tabs>
                <w:tab w:val="left" w:pos="1134"/>
              </w:tabs>
              <w:spacing w:before="120"/>
              <w:ind w:right="-248" w:hanging="108"/>
              <w:rPr>
                <w:sz w:val="20"/>
              </w:rPr>
            </w:pPr>
            <w:r w:rsidRPr="00DB6E41">
              <w:rPr>
                <w:sz w:val="20"/>
              </w:rPr>
              <w:t>______________</w:t>
            </w:r>
          </w:p>
        </w:tc>
        <w:tc>
          <w:tcPr>
            <w:tcW w:w="4820" w:type="dxa"/>
            <w:vMerge/>
          </w:tcPr>
          <w:p w:rsidR="009B0802" w:rsidRDefault="009B0802" w:rsidP="00121A8E">
            <w:pPr>
              <w:tabs>
                <w:tab w:val="left" w:pos="1134"/>
              </w:tabs>
              <w:spacing w:before="120"/>
              <w:ind w:right="-248" w:hanging="108"/>
              <w:rPr>
                <w:sz w:val="24"/>
                <w:szCs w:val="24"/>
              </w:rPr>
            </w:pPr>
          </w:p>
        </w:tc>
      </w:tr>
      <w:tr w:rsidR="009B0802" w:rsidRPr="00003987" w:rsidTr="00970EF7">
        <w:trPr>
          <w:cantSplit/>
          <w:trHeight w:val="872"/>
        </w:trPr>
        <w:tc>
          <w:tcPr>
            <w:tcW w:w="423" w:type="dxa"/>
          </w:tcPr>
          <w:p w:rsidR="009B0802" w:rsidRPr="00003987" w:rsidRDefault="009B0802" w:rsidP="00F00D8E">
            <w:pPr>
              <w:tabs>
                <w:tab w:val="left" w:pos="1134"/>
              </w:tabs>
              <w:jc w:val="both"/>
            </w:pPr>
          </w:p>
        </w:tc>
        <w:tc>
          <w:tcPr>
            <w:tcW w:w="4539" w:type="dxa"/>
            <w:gridSpan w:val="4"/>
          </w:tcPr>
          <w:p w:rsidR="009B0802" w:rsidRDefault="009B0802" w:rsidP="00B31E75">
            <w:pPr>
              <w:ind w:firstLine="33"/>
              <w:rPr>
                <w:sz w:val="24"/>
                <w:szCs w:val="24"/>
              </w:rPr>
            </w:pPr>
          </w:p>
          <w:p w:rsidR="00860290" w:rsidRDefault="00860290" w:rsidP="00862447">
            <w:pPr>
              <w:ind w:left="70"/>
              <w:rPr>
                <w:sz w:val="20"/>
              </w:rPr>
            </w:pPr>
            <w:r>
              <w:rPr>
                <w:sz w:val="20"/>
              </w:rPr>
              <w:t>О внесении изменений в Условия</w:t>
            </w:r>
          </w:p>
          <w:p w:rsidR="001B30B7" w:rsidRDefault="00862447" w:rsidP="00862447">
            <w:pPr>
              <w:ind w:left="70"/>
              <w:rPr>
                <w:sz w:val="20"/>
              </w:rPr>
            </w:pPr>
            <w:r w:rsidRPr="00860290">
              <w:rPr>
                <w:sz w:val="20"/>
              </w:rPr>
              <w:t>комплексного банковского обслуживания</w:t>
            </w:r>
          </w:p>
          <w:p w:rsidR="00862447" w:rsidRPr="00860290" w:rsidRDefault="001B30B7" w:rsidP="00862447">
            <w:pPr>
              <w:ind w:left="70"/>
              <w:rPr>
                <w:sz w:val="20"/>
              </w:rPr>
            </w:pPr>
            <w:r>
              <w:rPr>
                <w:sz w:val="20"/>
              </w:rPr>
              <w:t>для кредитных организаций</w:t>
            </w:r>
          </w:p>
        </w:tc>
        <w:tc>
          <w:tcPr>
            <w:tcW w:w="4820" w:type="dxa"/>
            <w:vMerge/>
          </w:tcPr>
          <w:p w:rsidR="009B0802" w:rsidRPr="00003987" w:rsidRDefault="009B0802" w:rsidP="00B31E75">
            <w:pPr>
              <w:tabs>
                <w:tab w:val="left" w:pos="1134"/>
              </w:tabs>
              <w:ind w:left="-108"/>
              <w:rPr>
                <w:noProof/>
              </w:rPr>
            </w:pPr>
          </w:p>
        </w:tc>
      </w:tr>
    </w:tbl>
    <w:p w:rsidR="00605FA4" w:rsidRDefault="00605FA4" w:rsidP="00A30277">
      <w:pPr>
        <w:spacing w:line="276" w:lineRule="auto"/>
        <w:ind w:right="-240"/>
        <w:rPr>
          <w:szCs w:val="28"/>
        </w:rPr>
      </w:pPr>
    </w:p>
    <w:p w:rsidR="004601A4" w:rsidRPr="00A637A3" w:rsidRDefault="007F7BCC" w:rsidP="00A30277">
      <w:pPr>
        <w:spacing w:line="276" w:lineRule="auto"/>
        <w:ind w:right="-240" w:firstLine="709"/>
        <w:jc w:val="both"/>
        <w:rPr>
          <w:rStyle w:val="a9"/>
          <w:color w:val="auto"/>
          <w:szCs w:val="28"/>
          <w:u w:val="none"/>
        </w:rPr>
      </w:pPr>
      <w:r>
        <w:rPr>
          <w:szCs w:val="28"/>
        </w:rPr>
        <w:t>С</w:t>
      </w:r>
      <w:r w:rsidR="00FF1AD1" w:rsidRPr="00A637A3">
        <w:rPr>
          <w:szCs w:val="28"/>
        </w:rPr>
        <w:t xml:space="preserve"> целью </w:t>
      </w:r>
      <w:r>
        <w:rPr>
          <w:szCs w:val="28"/>
        </w:rPr>
        <w:t>обеспечения</w:t>
      </w:r>
      <w:r w:rsidRPr="00A637A3">
        <w:rPr>
          <w:szCs w:val="28"/>
        </w:rPr>
        <w:t xml:space="preserve"> </w:t>
      </w:r>
      <w:r w:rsidR="0048587B" w:rsidRPr="00A637A3">
        <w:rPr>
          <w:szCs w:val="28"/>
        </w:rPr>
        <w:t xml:space="preserve">бесперебойного </w:t>
      </w:r>
      <w:r w:rsidR="00FF1AD1" w:rsidRPr="00A637A3">
        <w:rPr>
          <w:szCs w:val="28"/>
        </w:rPr>
        <w:t xml:space="preserve">оказания операционных услуг и услуг платежного клиринга по внутрироссийским операциям, осуществляемым с использованием карт </w:t>
      </w:r>
      <w:r>
        <w:rPr>
          <w:szCs w:val="28"/>
        </w:rPr>
        <w:t>международных платежных систем</w:t>
      </w:r>
      <w:r w:rsidR="00323333" w:rsidRPr="00A637A3">
        <w:rPr>
          <w:szCs w:val="28"/>
        </w:rPr>
        <w:t>,</w:t>
      </w:r>
      <w:r w:rsidR="00C126DA" w:rsidRPr="00A637A3">
        <w:rPr>
          <w:szCs w:val="28"/>
        </w:rPr>
        <w:t xml:space="preserve"> Банк России сообщает </w:t>
      </w:r>
      <w:r w:rsidR="009755E0" w:rsidRPr="00A637A3">
        <w:rPr>
          <w:szCs w:val="28"/>
        </w:rPr>
        <w:t>о</w:t>
      </w:r>
      <w:r w:rsidR="00F632AF">
        <w:rPr>
          <w:szCs w:val="28"/>
        </w:rPr>
        <w:t>б</w:t>
      </w:r>
      <w:r w:rsidR="008D010F" w:rsidRPr="00A637A3">
        <w:rPr>
          <w:szCs w:val="28"/>
        </w:rPr>
        <w:t xml:space="preserve"> </w:t>
      </w:r>
      <w:r w:rsidR="00F632AF">
        <w:rPr>
          <w:szCs w:val="28"/>
        </w:rPr>
        <w:t>изложении</w:t>
      </w:r>
      <w:r w:rsidR="00F632AF" w:rsidRPr="00A637A3">
        <w:rPr>
          <w:szCs w:val="28"/>
        </w:rPr>
        <w:t xml:space="preserve"> </w:t>
      </w:r>
      <w:r w:rsidR="009755E0" w:rsidRPr="00A637A3">
        <w:rPr>
          <w:szCs w:val="28"/>
        </w:rPr>
        <w:t>пункта 2.15 Условий комплексного банковского обслуживания</w:t>
      </w:r>
      <w:r w:rsidR="00D32386" w:rsidRPr="00A637A3">
        <w:rPr>
          <w:szCs w:val="28"/>
        </w:rPr>
        <w:t xml:space="preserve"> для кредитных организаций</w:t>
      </w:r>
      <w:r w:rsidR="009755E0" w:rsidRPr="00A637A3">
        <w:rPr>
          <w:szCs w:val="28"/>
        </w:rPr>
        <w:t xml:space="preserve">, опубликованных на официальном сайте Банка России в информационно-телекоммуникационной сети «Интернет» по адресу </w:t>
      </w:r>
      <w:hyperlink r:id="rId16">
        <w:r w:rsidR="009755E0" w:rsidRPr="00A637A3">
          <w:rPr>
            <w:rStyle w:val="a9"/>
            <w:szCs w:val="28"/>
          </w:rPr>
          <w:t>http://www.cbr.ru/PSystem/system_p/</w:t>
        </w:r>
      </w:hyperlink>
      <w:r w:rsidR="005C3883">
        <w:rPr>
          <w:rStyle w:val="a9"/>
          <w:szCs w:val="28"/>
        </w:rPr>
        <w:br/>
      </w:r>
      <w:r w:rsidR="000F1F06" w:rsidRPr="00743E05">
        <w:rPr>
          <w:rStyle w:val="a9"/>
          <w:color w:val="auto"/>
          <w:szCs w:val="28"/>
          <w:u w:val="none"/>
        </w:rPr>
        <w:t>(далее – Условия К</w:t>
      </w:r>
      <w:r w:rsidR="00AA5FAA" w:rsidRPr="00743E05">
        <w:rPr>
          <w:rStyle w:val="a9"/>
          <w:color w:val="auto"/>
          <w:szCs w:val="28"/>
          <w:u w:val="none"/>
        </w:rPr>
        <w:t>БО)</w:t>
      </w:r>
      <w:r w:rsidR="00D32386" w:rsidRPr="00D45376">
        <w:rPr>
          <w:rStyle w:val="a9"/>
          <w:color w:val="auto"/>
          <w:szCs w:val="28"/>
          <w:u w:val="none"/>
        </w:rPr>
        <w:t xml:space="preserve">, </w:t>
      </w:r>
      <w:r w:rsidR="00D32386" w:rsidRPr="00A637A3">
        <w:rPr>
          <w:rStyle w:val="a9"/>
          <w:color w:val="auto"/>
          <w:szCs w:val="28"/>
          <w:u w:val="none"/>
        </w:rPr>
        <w:t>в следующей редакции</w:t>
      </w:r>
      <w:r w:rsidR="009755E0" w:rsidRPr="00A637A3">
        <w:rPr>
          <w:rStyle w:val="a9"/>
          <w:color w:val="auto"/>
          <w:szCs w:val="28"/>
          <w:u w:val="none"/>
        </w:rPr>
        <w:t>:</w:t>
      </w:r>
    </w:p>
    <w:p w:rsidR="00F632AF" w:rsidRPr="00F632AF" w:rsidRDefault="008D010F" w:rsidP="00A30277">
      <w:pPr>
        <w:spacing w:line="276" w:lineRule="auto"/>
        <w:ind w:right="-240" w:firstLine="709"/>
        <w:jc w:val="both"/>
        <w:rPr>
          <w:rStyle w:val="a9"/>
          <w:color w:val="auto"/>
          <w:szCs w:val="28"/>
          <w:u w:val="none"/>
        </w:rPr>
      </w:pPr>
      <w:r w:rsidRPr="00A637A3">
        <w:rPr>
          <w:rStyle w:val="a9"/>
          <w:color w:val="auto"/>
          <w:szCs w:val="28"/>
          <w:u w:val="none"/>
        </w:rPr>
        <w:lastRenderedPageBreak/>
        <w:t>«</w:t>
      </w:r>
      <w:r w:rsidR="00F632AF" w:rsidRPr="00F632AF">
        <w:rPr>
          <w:rStyle w:val="a9"/>
          <w:color w:val="auto"/>
          <w:szCs w:val="28"/>
          <w:u w:val="none"/>
        </w:rPr>
        <w:t>2.15.</w:t>
      </w:r>
      <w:r w:rsidR="00743E05">
        <w:rPr>
          <w:rStyle w:val="a9"/>
          <w:color w:val="auto"/>
          <w:szCs w:val="28"/>
          <w:u w:val="none"/>
        </w:rPr>
        <w:t xml:space="preserve"> </w:t>
      </w:r>
      <w:r w:rsidR="00F632AF" w:rsidRPr="00F632AF">
        <w:rPr>
          <w:rStyle w:val="a9"/>
          <w:color w:val="auto"/>
          <w:szCs w:val="28"/>
          <w:u w:val="none"/>
        </w:rPr>
        <w:t xml:space="preserve">Клиент обеспечивает исполнение перед Банком своих обязательств, возникших на основании Реестра нетто-позиций по </w:t>
      </w:r>
      <w:r w:rsidR="002F619F" w:rsidRPr="002F619F">
        <w:rPr>
          <w:szCs w:val="28"/>
        </w:rPr>
        <w:t>платежной систем</w:t>
      </w:r>
      <w:r w:rsidR="0029636A">
        <w:rPr>
          <w:szCs w:val="28"/>
        </w:rPr>
        <w:t>е, в рамках которой определяются</w:t>
      </w:r>
      <w:r w:rsidR="002F619F" w:rsidRPr="002F619F">
        <w:rPr>
          <w:szCs w:val="28"/>
        </w:rPr>
        <w:t xml:space="preserve"> правила эмиссии международных</w:t>
      </w:r>
      <w:r w:rsidR="0029636A">
        <w:rPr>
          <w:szCs w:val="28"/>
        </w:rPr>
        <w:t xml:space="preserve"> платежных карт и осуществляются</w:t>
      </w:r>
      <w:r w:rsidR="002F619F" w:rsidRPr="002F619F">
        <w:rPr>
          <w:szCs w:val="28"/>
        </w:rPr>
        <w:t xml:space="preserve"> на территории Российской Федерации переводы денежных средств с использованием международных платежных карт</w:t>
      </w:r>
      <w:r w:rsidR="002F619F">
        <w:rPr>
          <w:szCs w:val="28"/>
        </w:rPr>
        <w:t xml:space="preserve"> (далее – </w:t>
      </w:r>
      <w:r w:rsidR="00F632AF">
        <w:rPr>
          <w:rStyle w:val="a9"/>
          <w:color w:val="auto"/>
          <w:szCs w:val="28"/>
          <w:u w:val="none"/>
        </w:rPr>
        <w:t>международн</w:t>
      </w:r>
      <w:r w:rsidR="002F619F">
        <w:rPr>
          <w:rStyle w:val="a9"/>
          <w:color w:val="auto"/>
          <w:szCs w:val="28"/>
          <w:u w:val="none"/>
        </w:rPr>
        <w:t>ая</w:t>
      </w:r>
      <w:r w:rsidR="00F632AF">
        <w:rPr>
          <w:rStyle w:val="a9"/>
          <w:color w:val="auto"/>
          <w:szCs w:val="28"/>
          <w:u w:val="none"/>
        </w:rPr>
        <w:t xml:space="preserve"> платежн</w:t>
      </w:r>
      <w:r w:rsidR="002F619F">
        <w:rPr>
          <w:rStyle w:val="a9"/>
          <w:color w:val="auto"/>
          <w:szCs w:val="28"/>
          <w:u w:val="none"/>
        </w:rPr>
        <w:t>ая</w:t>
      </w:r>
      <w:r w:rsidR="00F632AF">
        <w:rPr>
          <w:rStyle w:val="a9"/>
          <w:color w:val="auto"/>
          <w:szCs w:val="28"/>
          <w:u w:val="none"/>
        </w:rPr>
        <w:t xml:space="preserve"> систем</w:t>
      </w:r>
      <w:r w:rsidR="002F619F">
        <w:rPr>
          <w:rStyle w:val="a9"/>
          <w:color w:val="auto"/>
          <w:szCs w:val="28"/>
          <w:u w:val="none"/>
        </w:rPr>
        <w:t>а)</w:t>
      </w:r>
      <w:r w:rsidR="00F632AF" w:rsidRPr="00F632AF">
        <w:rPr>
          <w:rStyle w:val="a9"/>
          <w:color w:val="auto"/>
          <w:szCs w:val="28"/>
          <w:u w:val="none"/>
        </w:rPr>
        <w:t xml:space="preserve">, путем предоставления поручительства другой кредитной организации в соответствии с условиями, установленными Банком, не позднее тридцати рабочих дней со дня приостановления (прекращения) участия Клиента в </w:t>
      </w:r>
      <w:r w:rsidR="004F0627">
        <w:rPr>
          <w:rStyle w:val="a9"/>
          <w:color w:val="auto"/>
          <w:szCs w:val="28"/>
          <w:u w:val="none"/>
        </w:rPr>
        <w:t xml:space="preserve">международной </w:t>
      </w:r>
      <w:r w:rsidR="00743E05">
        <w:rPr>
          <w:rStyle w:val="a9"/>
          <w:color w:val="auto"/>
          <w:szCs w:val="28"/>
          <w:u w:val="none"/>
        </w:rPr>
        <w:t>платежной системе.</w:t>
      </w:r>
    </w:p>
    <w:p w:rsidR="009755E0" w:rsidRDefault="00780CAF" w:rsidP="00A30277">
      <w:pPr>
        <w:spacing w:line="276" w:lineRule="auto"/>
        <w:ind w:right="-240" w:firstLine="709"/>
        <w:jc w:val="both"/>
        <w:rPr>
          <w:rStyle w:val="a9"/>
          <w:color w:val="auto"/>
          <w:szCs w:val="28"/>
          <w:u w:val="none"/>
        </w:rPr>
      </w:pPr>
      <w:r>
        <w:rPr>
          <w:rStyle w:val="a9"/>
          <w:color w:val="auto"/>
          <w:szCs w:val="28"/>
          <w:u w:val="none"/>
        </w:rPr>
        <w:t>В случае</w:t>
      </w:r>
      <w:r w:rsidR="001B6824">
        <w:rPr>
          <w:rStyle w:val="a9"/>
          <w:color w:val="auto"/>
          <w:szCs w:val="28"/>
          <w:u w:val="none"/>
        </w:rPr>
        <w:t xml:space="preserve"> исключения из Р</w:t>
      </w:r>
      <w:r w:rsidR="008D010F" w:rsidRPr="00A637A3">
        <w:rPr>
          <w:rStyle w:val="a9"/>
          <w:color w:val="auto"/>
          <w:szCs w:val="28"/>
          <w:u w:val="none"/>
        </w:rPr>
        <w:t xml:space="preserve">еестра операторов платежных систем </w:t>
      </w:r>
      <w:r w:rsidR="00AA5FAA" w:rsidRPr="00A637A3">
        <w:rPr>
          <w:rStyle w:val="a9"/>
          <w:color w:val="auto"/>
          <w:szCs w:val="28"/>
          <w:u w:val="none"/>
        </w:rPr>
        <w:t xml:space="preserve">оператора </w:t>
      </w:r>
      <w:r w:rsidR="00DF5B5B">
        <w:rPr>
          <w:rStyle w:val="a9"/>
          <w:color w:val="auto"/>
          <w:szCs w:val="28"/>
          <w:u w:val="none"/>
        </w:rPr>
        <w:t xml:space="preserve">международной </w:t>
      </w:r>
      <w:r w:rsidR="00AA5FAA" w:rsidRPr="00A637A3">
        <w:rPr>
          <w:rStyle w:val="a9"/>
          <w:color w:val="auto"/>
          <w:szCs w:val="28"/>
          <w:u w:val="none"/>
        </w:rPr>
        <w:t>платежной системы</w:t>
      </w:r>
      <w:r w:rsidR="008123B3">
        <w:rPr>
          <w:rStyle w:val="a9"/>
          <w:color w:val="auto"/>
          <w:szCs w:val="28"/>
          <w:u w:val="none"/>
        </w:rPr>
        <w:t>,</w:t>
      </w:r>
      <w:r w:rsidR="008123B3" w:rsidRPr="00A637A3">
        <w:rPr>
          <w:rStyle w:val="a9"/>
          <w:color w:val="auto"/>
          <w:szCs w:val="28"/>
          <w:u w:val="none"/>
        </w:rPr>
        <w:t xml:space="preserve"> </w:t>
      </w:r>
      <w:r w:rsidR="008D010F" w:rsidRPr="00A637A3">
        <w:rPr>
          <w:rStyle w:val="a9"/>
          <w:color w:val="auto"/>
          <w:szCs w:val="28"/>
          <w:u w:val="none"/>
        </w:rPr>
        <w:t xml:space="preserve">срок предоставления поручительства другой кредитной организации составляет девяносто календарных дней со дня приостановления (прекращения) участия Клиента в </w:t>
      </w:r>
      <w:r w:rsidR="001B6824">
        <w:rPr>
          <w:rStyle w:val="a9"/>
          <w:color w:val="auto"/>
          <w:szCs w:val="28"/>
          <w:u w:val="none"/>
        </w:rPr>
        <w:t xml:space="preserve">международной </w:t>
      </w:r>
      <w:r w:rsidR="00DF5B5B" w:rsidRPr="00DF5B5B">
        <w:rPr>
          <w:szCs w:val="28"/>
        </w:rPr>
        <w:t>платежной системе</w:t>
      </w:r>
      <w:r w:rsidR="008D010F" w:rsidRPr="00A637A3">
        <w:rPr>
          <w:rStyle w:val="a9"/>
          <w:color w:val="auto"/>
          <w:szCs w:val="28"/>
          <w:u w:val="none"/>
        </w:rPr>
        <w:t>.</w:t>
      </w:r>
      <w:r w:rsidR="00743E05">
        <w:rPr>
          <w:rStyle w:val="ae"/>
          <w:szCs w:val="28"/>
        </w:rPr>
        <w:footnoteReference w:id="1"/>
      </w:r>
      <w:r w:rsidR="009755E0" w:rsidRPr="00A637A3">
        <w:rPr>
          <w:rStyle w:val="a9"/>
          <w:color w:val="auto"/>
          <w:szCs w:val="28"/>
          <w:u w:val="none"/>
        </w:rPr>
        <w:t>».</w:t>
      </w:r>
    </w:p>
    <w:p w:rsidR="009755E0" w:rsidRDefault="009755E0" w:rsidP="00A30277">
      <w:pPr>
        <w:spacing w:line="276" w:lineRule="auto"/>
        <w:ind w:right="-240" w:firstLine="709"/>
        <w:jc w:val="both"/>
        <w:rPr>
          <w:szCs w:val="28"/>
        </w:rPr>
      </w:pPr>
      <w:r w:rsidRPr="00A637A3">
        <w:rPr>
          <w:rStyle w:val="a9"/>
          <w:color w:val="auto"/>
          <w:szCs w:val="28"/>
          <w:u w:val="none"/>
        </w:rPr>
        <w:t>Настоящее письмо подлежит опубликованию на официальном сайте Банка России в информационно-телекоммуникационной сети «Интернет</w:t>
      </w:r>
      <w:r w:rsidRPr="00A637A3">
        <w:rPr>
          <w:szCs w:val="28"/>
        </w:rPr>
        <w:t xml:space="preserve">» по адресу </w:t>
      </w:r>
      <w:hyperlink r:id="rId17">
        <w:r w:rsidR="006A51C1" w:rsidRPr="00A637A3">
          <w:rPr>
            <w:rStyle w:val="a9"/>
            <w:szCs w:val="28"/>
          </w:rPr>
          <w:t>http://www.cbr.ru/PSystem/system_p/</w:t>
        </w:r>
      </w:hyperlink>
      <w:r w:rsidRPr="00743E05">
        <w:rPr>
          <w:szCs w:val="28"/>
        </w:rPr>
        <w:t>.</w:t>
      </w:r>
      <w:r w:rsidR="008123B3" w:rsidRPr="00743E05">
        <w:t xml:space="preserve"> </w:t>
      </w:r>
      <w:r w:rsidR="008123B3" w:rsidRPr="00A30277">
        <w:rPr>
          <w:szCs w:val="28"/>
        </w:rPr>
        <w:t>Кредитные организации вправе применять абзац второй пункта 2.15 Условий КБО с момента опубликования настоящего письма.</w:t>
      </w:r>
    </w:p>
    <w:p w:rsidR="00255213" w:rsidRPr="00A30277" w:rsidRDefault="00255213" w:rsidP="00A30277">
      <w:pPr>
        <w:spacing w:line="276" w:lineRule="auto"/>
        <w:ind w:right="-240" w:firstLine="709"/>
        <w:jc w:val="both"/>
        <w:rPr>
          <w:bCs/>
          <w:szCs w:val="28"/>
        </w:rPr>
      </w:pPr>
      <w:r>
        <w:rPr>
          <w:szCs w:val="28"/>
        </w:rPr>
        <w:t>Подразделениям Банка России довести настоящее письмо до сведения кредитных организаций, участие которых приостановлено (прекращено</w:t>
      </w:r>
      <w:r w:rsidRPr="00255213">
        <w:rPr>
          <w:szCs w:val="28"/>
        </w:rPr>
        <w:t>) в международной платежной системе</w:t>
      </w:r>
      <w:r w:rsidR="00F33DEA">
        <w:rPr>
          <w:szCs w:val="28"/>
        </w:rPr>
        <w:t>.</w:t>
      </w:r>
    </w:p>
    <w:p w:rsidR="009755E0" w:rsidRDefault="009755E0" w:rsidP="000F1F06">
      <w:pPr>
        <w:ind w:right="-240"/>
        <w:jc w:val="both"/>
        <w:rPr>
          <w:szCs w:val="28"/>
        </w:rPr>
      </w:pPr>
    </w:p>
    <w:p w:rsidR="00743E05" w:rsidRDefault="00743E05" w:rsidP="000F1F06">
      <w:pPr>
        <w:ind w:right="-240"/>
        <w:jc w:val="both"/>
        <w:rPr>
          <w:szCs w:val="28"/>
        </w:rPr>
      </w:pPr>
    </w:p>
    <w:p w:rsidR="00A637A3" w:rsidRPr="00A637A3" w:rsidRDefault="0041361C" w:rsidP="000F1F06">
      <w:pPr>
        <w:ind w:right="-240"/>
        <w:jc w:val="right"/>
        <w:rPr>
          <w:szCs w:val="28"/>
        </w:rPr>
      </w:pPr>
      <w:r w:rsidRPr="00A637A3">
        <w:rPr>
          <w:szCs w:val="28"/>
        </w:rPr>
        <w:t>О.Н. Скоробогатова</w:t>
      </w:r>
    </w:p>
    <w:sectPr w:rsidR="00A637A3" w:rsidRPr="00A637A3" w:rsidSect="003636AE">
      <w:pgSz w:w="11906" w:h="16838"/>
      <w:pgMar w:top="953" w:right="1134" w:bottom="1134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647" w:rsidRDefault="008B4647" w:rsidP="00505C4B">
      <w:r>
        <w:separator/>
      </w:r>
    </w:p>
  </w:endnote>
  <w:endnote w:type="continuationSeparator" w:id="0">
    <w:p w:rsidR="008B4647" w:rsidRDefault="008B4647" w:rsidP="0050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647" w:rsidRDefault="008B4647" w:rsidP="00505C4B">
      <w:r>
        <w:separator/>
      </w:r>
    </w:p>
  </w:footnote>
  <w:footnote w:type="continuationSeparator" w:id="0">
    <w:p w:rsidR="008B4647" w:rsidRDefault="008B4647" w:rsidP="00505C4B">
      <w:r>
        <w:continuationSeparator/>
      </w:r>
    </w:p>
  </w:footnote>
  <w:footnote w:id="1">
    <w:p w:rsidR="00743E05" w:rsidRDefault="00743E05" w:rsidP="00743E05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F632AF">
        <w:t xml:space="preserve">Пункт 2.15 применяется в случае присоединения Клиента к Правилам оказания операционных услуг и услуг платежного клиринга АО «НСПК» и приостановления (прекращения) участия Клиента в </w:t>
      </w:r>
      <w:r w:rsidR="00AA7B75">
        <w:t xml:space="preserve">международной </w:t>
      </w:r>
      <w:r w:rsidR="00DF5B5B" w:rsidRPr="00DF5B5B">
        <w:t>платежной системе</w:t>
      </w:r>
      <w:r w:rsidRPr="00F632A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8481C"/>
    <w:multiLevelType w:val="hybridMultilevel"/>
    <w:tmpl w:val="D8BC5A42"/>
    <w:lvl w:ilvl="0" w:tplc="15EC566E">
      <w:start w:val="1"/>
      <w:numFmt w:val="decimal"/>
      <w:lvlText w:val="2.%1."/>
      <w:lvlJc w:val="left"/>
      <w:pPr>
        <w:ind w:left="135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BBE"/>
    <w:rsid w:val="000136EB"/>
    <w:rsid w:val="00025C90"/>
    <w:rsid w:val="00055F40"/>
    <w:rsid w:val="0005702F"/>
    <w:rsid w:val="00064BC6"/>
    <w:rsid w:val="000A48B8"/>
    <w:rsid w:val="000D5EE5"/>
    <w:rsid w:val="000E3E91"/>
    <w:rsid w:val="000F1F06"/>
    <w:rsid w:val="000F3989"/>
    <w:rsid w:val="00110E6B"/>
    <w:rsid w:val="00111E8D"/>
    <w:rsid w:val="00121A8E"/>
    <w:rsid w:val="0016428F"/>
    <w:rsid w:val="00166CDD"/>
    <w:rsid w:val="001B30B7"/>
    <w:rsid w:val="001B6824"/>
    <w:rsid w:val="001C3DC0"/>
    <w:rsid w:val="001D3EF3"/>
    <w:rsid w:val="00232B5D"/>
    <w:rsid w:val="00232E6E"/>
    <w:rsid w:val="002440C5"/>
    <w:rsid w:val="00255213"/>
    <w:rsid w:val="002575E9"/>
    <w:rsid w:val="002837E9"/>
    <w:rsid w:val="002943F1"/>
    <w:rsid w:val="0029636A"/>
    <w:rsid w:val="002C235F"/>
    <w:rsid w:val="002F619F"/>
    <w:rsid w:val="003044A5"/>
    <w:rsid w:val="00323333"/>
    <w:rsid w:val="003636AE"/>
    <w:rsid w:val="00385A7B"/>
    <w:rsid w:val="003A0FF7"/>
    <w:rsid w:val="003C3E0C"/>
    <w:rsid w:val="003D49B3"/>
    <w:rsid w:val="0041361C"/>
    <w:rsid w:val="004238AD"/>
    <w:rsid w:val="004410D8"/>
    <w:rsid w:val="00441698"/>
    <w:rsid w:val="00442655"/>
    <w:rsid w:val="00447C17"/>
    <w:rsid w:val="004601A4"/>
    <w:rsid w:val="0048587B"/>
    <w:rsid w:val="004D67B7"/>
    <w:rsid w:val="004F0627"/>
    <w:rsid w:val="0050112B"/>
    <w:rsid w:val="00505C4B"/>
    <w:rsid w:val="005218B7"/>
    <w:rsid w:val="0054641B"/>
    <w:rsid w:val="00595BCA"/>
    <w:rsid w:val="005B6012"/>
    <w:rsid w:val="005B7689"/>
    <w:rsid w:val="005C3883"/>
    <w:rsid w:val="005E5620"/>
    <w:rsid w:val="00600AE8"/>
    <w:rsid w:val="0060516E"/>
    <w:rsid w:val="00605FA4"/>
    <w:rsid w:val="00614A82"/>
    <w:rsid w:val="0066448C"/>
    <w:rsid w:val="00664FA0"/>
    <w:rsid w:val="006A51C1"/>
    <w:rsid w:val="006A5EA1"/>
    <w:rsid w:val="006E5DF3"/>
    <w:rsid w:val="00737910"/>
    <w:rsid w:val="00737C57"/>
    <w:rsid w:val="00743E05"/>
    <w:rsid w:val="007519C0"/>
    <w:rsid w:val="00754053"/>
    <w:rsid w:val="00780CAF"/>
    <w:rsid w:val="007A4048"/>
    <w:rsid w:val="007A5D2E"/>
    <w:rsid w:val="007B4437"/>
    <w:rsid w:val="007D29F5"/>
    <w:rsid w:val="007D7416"/>
    <w:rsid w:val="007F7BCC"/>
    <w:rsid w:val="008003C1"/>
    <w:rsid w:val="008123B3"/>
    <w:rsid w:val="00813C7A"/>
    <w:rsid w:val="008227CB"/>
    <w:rsid w:val="00854D5D"/>
    <w:rsid w:val="00855A61"/>
    <w:rsid w:val="00860290"/>
    <w:rsid w:val="00862447"/>
    <w:rsid w:val="008739AE"/>
    <w:rsid w:val="00877B80"/>
    <w:rsid w:val="008909D0"/>
    <w:rsid w:val="008A237C"/>
    <w:rsid w:val="008B4647"/>
    <w:rsid w:val="008D010F"/>
    <w:rsid w:val="008E1CC1"/>
    <w:rsid w:val="009078E3"/>
    <w:rsid w:val="0091050D"/>
    <w:rsid w:val="0092511F"/>
    <w:rsid w:val="0093777C"/>
    <w:rsid w:val="00942FEC"/>
    <w:rsid w:val="00945896"/>
    <w:rsid w:val="00961773"/>
    <w:rsid w:val="00970EF7"/>
    <w:rsid w:val="009755E0"/>
    <w:rsid w:val="00986189"/>
    <w:rsid w:val="009A1AFE"/>
    <w:rsid w:val="009A1FF8"/>
    <w:rsid w:val="009B0802"/>
    <w:rsid w:val="009E7ABE"/>
    <w:rsid w:val="009F75CB"/>
    <w:rsid w:val="00A04D83"/>
    <w:rsid w:val="00A164A0"/>
    <w:rsid w:val="00A2052A"/>
    <w:rsid w:val="00A21995"/>
    <w:rsid w:val="00A30277"/>
    <w:rsid w:val="00A637A3"/>
    <w:rsid w:val="00A800A9"/>
    <w:rsid w:val="00AA5FAA"/>
    <w:rsid w:val="00AA7B75"/>
    <w:rsid w:val="00AA7C67"/>
    <w:rsid w:val="00AD0413"/>
    <w:rsid w:val="00AF27A7"/>
    <w:rsid w:val="00AF36C7"/>
    <w:rsid w:val="00B146D5"/>
    <w:rsid w:val="00B2525D"/>
    <w:rsid w:val="00B31E75"/>
    <w:rsid w:val="00B41335"/>
    <w:rsid w:val="00B63503"/>
    <w:rsid w:val="00B72D16"/>
    <w:rsid w:val="00BB276F"/>
    <w:rsid w:val="00BE1C2D"/>
    <w:rsid w:val="00BF582D"/>
    <w:rsid w:val="00BF6103"/>
    <w:rsid w:val="00C1162E"/>
    <w:rsid w:val="00C126DA"/>
    <w:rsid w:val="00C170E9"/>
    <w:rsid w:val="00C1794A"/>
    <w:rsid w:val="00C40232"/>
    <w:rsid w:val="00C40BBE"/>
    <w:rsid w:val="00C61F0C"/>
    <w:rsid w:val="00CA08F2"/>
    <w:rsid w:val="00CC78FF"/>
    <w:rsid w:val="00CE595D"/>
    <w:rsid w:val="00D0167A"/>
    <w:rsid w:val="00D32386"/>
    <w:rsid w:val="00D45376"/>
    <w:rsid w:val="00D60B94"/>
    <w:rsid w:val="00D63752"/>
    <w:rsid w:val="00D917C5"/>
    <w:rsid w:val="00DA009F"/>
    <w:rsid w:val="00DA1E8F"/>
    <w:rsid w:val="00DB08F2"/>
    <w:rsid w:val="00DB565C"/>
    <w:rsid w:val="00DB6E41"/>
    <w:rsid w:val="00DD5AD4"/>
    <w:rsid w:val="00DF5B5B"/>
    <w:rsid w:val="00E10D9F"/>
    <w:rsid w:val="00E255AB"/>
    <w:rsid w:val="00E35149"/>
    <w:rsid w:val="00E77A37"/>
    <w:rsid w:val="00E800F7"/>
    <w:rsid w:val="00E82EA5"/>
    <w:rsid w:val="00EB2A56"/>
    <w:rsid w:val="00EB5216"/>
    <w:rsid w:val="00EC606B"/>
    <w:rsid w:val="00ED7133"/>
    <w:rsid w:val="00EF696F"/>
    <w:rsid w:val="00F00D8E"/>
    <w:rsid w:val="00F05CF9"/>
    <w:rsid w:val="00F33DEA"/>
    <w:rsid w:val="00F348B3"/>
    <w:rsid w:val="00F632AF"/>
    <w:rsid w:val="00F9417C"/>
    <w:rsid w:val="00FA0A8D"/>
    <w:rsid w:val="00FC1995"/>
    <w:rsid w:val="00FC3CAD"/>
    <w:rsid w:val="00FF1AD1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91649520-AD6E-4E1D-B084-77EFCEBB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rsid w:val="00F9417C"/>
    <w:pPr>
      <w:keepNext/>
      <w:spacing w:before="240" w:after="120"/>
      <w:jc w:val="center"/>
      <w:outlineLvl w:val="1"/>
    </w:pPr>
    <w:rPr>
      <w:rFonts w:ascii="Arial" w:hAnsi="Arial"/>
      <w:b/>
      <w:sz w:val="24"/>
      <w:lang w:val="en-US" w:eastAsia="en-US"/>
    </w:rPr>
  </w:style>
  <w:style w:type="paragraph" w:styleId="3">
    <w:name w:val="heading 3"/>
    <w:basedOn w:val="a"/>
    <w:next w:val="a"/>
    <w:qFormat/>
    <w:rsid w:val="00F9417C"/>
    <w:pPr>
      <w:keepNext/>
      <w:tabs>
        <w:tab w:val="left" w:pos="1134"/>
      </w:tabs>
      <w:jc w:val="center"/>
      <w:outlineLvl w:val="2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5387" w:right="-240"/>
    </w:pPr>
  </w:style>
  <w:style w:type="paragraph" w:styleId="a4">
    <w:name w:val="Body Text Indent"/>
    <w:basedOn w:val="a"/>
    <w:pPr>
      <w:ind w:firstLine="720"/>
      <w:jc w:val="both"/>
    </w:pPr>
  </w:style>
  <w:style w:type="paragraph" w:styleId="20">
    <w:name w:val="Body Text Indent 2"/>
    <w:basedOn w:val="a"/>
    <w:pPr>
      <w:ind w:left="5670"/>
    </w:pPr>
  </w:style>
  <w:style w:type="paragraph" w:styleId="a5">
    <w:name w:val="header"/>
    <w:basedOn w:val="a"/>
    <w:link w:val="a6"/>
    <w:rsid w:val="00505C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505C4B"/>
    <w:rPr>
      <w:sz w:val="28"/>
    </w:rPr>
  </w:style>
  <w:style w:type="paragraph" w:styleId="a7">
    <w:name w:val="footer"/>
    <w:basedOn w:val="a"/>
    <w:link w:val="a8"/>
    <w:rsid w:val="00505C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505C4B"/>
    <w:rPr>
      <w:sz w:val="28"/>
    </w:rPr>
  </w:style>
  <w:style w:type="character" w:styleId="a9">
    <w:name w:val="Hyperlink"/>
    <w:rsid w:val="00BE1C2D"/>
    <w:rPr>
      <w:color w:val="0000FF"/>
      <w:u w:val="single"/>
    </w:rPr>
  </w:style>
  <w:style w:type="paragraph" w:styleId="aa">
    <w:name w:val="Body Text"/>
    <w:basedOn w:val="a"/>
    <w:link w:val="ab"/>
    <w:rsid w:val="009755E0"/>
    <w:pPr>
      <w:spacing w:after="120"/>
    </w:pPr>
  </w:style>
  <w:style w:type="character" w:customStyle="1" w:styleId="ab">
    <w:name w:val="Основной текст Знак"/>
    <w:basedOn w:val="a0"/>
    <w:link w:val="aa"/>
    <w:rsid w:val="009755E0"/>
    <w:rPr>
      <w:sz w:val="28"/>
    </w:rPr>
  </w:style>
  <w:style w:type="paragraph" w:styleId="ac">
    <w:name w:val="footnote text"/>
    <w:basedOn w:val="a"/>
    <w:link w:val="ad"/>
    <w:uiPriority w:val="99"/>
    <w:unhideWhenUsed/>
    <w:rsid w:val="009755E0"/>
    <w:rPr>
      <w:sz w:val="20"/>
    </w:rPr>
  </w:style>
  <w:style w:type="character" w:customStyle="1" w:styleId="ad">
    <w:name w:val="Текст сноски Знак"/>
    <w:basedOn w:val="a0"/>
    <w:link w:val="ac"/>
    <w:uiPriority w:val="99"/>
    <w:rsid w:val="009755E0"/>
  </w:style>
  <w:style w:type="character" w:styleId="ae">
    <w:name w:val="footnote reference"/>
    <w:unhideWhenUsed/>
    <w:rsid w:val="009755E0"/>
    <w:rPr>
      <w:vertAlign w:val="superscript"/>
    </w:rPr>
  </w:style>
  <w:style w:type="paragraph" w:styleId="af">
    <w:name w:val="Balloon Text"/>
    <w:basedOn w:val="a"/>
    <w:link w:val="af0"/>
    <w:rsid w:val="0032333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323333"/>
    <w:rPr>
      <w:rFonts w:ascii="Segoe UI" w:hAnsi="Segoe UI" w:cs="Segoe UI"/>
      <w:sz w:val="18"/>
      <w:szCs w:val="18"/>
    </w:rPr>
  </w:style>
  <w:style w:type="character" w:styleId="af1">
    <w:name w:val="annotation reference"/>
    <w:basedOn w:val="a0"/>
    <w:rsid w:val="00055F40"/>
    <w:rPr>
      <w:sz w:val="16"/>
      <w:szCs w:val="16"/>
    </w:rPr>
  </w:style>
  <w:style w:type="paragraph" w:styleId="af2">
    <w:name w:val="annotation text"/>
    <w:basedOn w:val="a"/>
    <w:link w:val="af3"/>
    <w:rsid w:val="00055F40"/>
    <w:rPr>
      <w:sz w:val="20"/>
    </w:rPr>
  </w:style>
  <w:style w:type="character" w:customStyle="1" w:styleId="af3">
    <w:name w:val="Текст примечания Знак"/>
    <w:basedOn w:val="a0"/>
    <w:link w:val="af2"/>
    <w:rsid w:val="00055F40"/>
  </w:style>
  <w:style w:type="paragraph" w:styleId="af4">
    <w:name w:val="annotation subject"/>
    <w:basedOn w:val="af2"/>
    <w:next w:val="af2"/>
    <w:link w:val="af5"/>
    <w:rsid w:val="00055F40"/>
    <w:rPr>
      <w:b/>
      <w:bCs/>
    </w:rPr>
  </w:style>
  <w:style w:type="character" w:customStyle="1" w:styleId="af5">
    <w:name w:val="Тема примечания Знак"/>
    <w:basedOn w:val="af3"/>
    <w:link w:val="af4"/>
    <w:rsid w:val="00055F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www.cbr.ru/PSystem/system_p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br.ru/PSystem/system_p/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cbr.ru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8a301b8-fba3-4a56-9ee3-0e2775d83ffb">6MRAV4MPJ4WK-208564503-5682</_dlc_DocId>
    <_dlc_DocIdUrl xmlns="b8a301b8-fba3-4a56-9ee3-0e2775d83ffb">
      <Url>https://cbrportal.cbr.ru/_layouts/15/DocIdRedir.aspx?ID=6MRAV4MPJ4WK-208564503-5682</Url>
      <Description>6MRAV4MPJ4WK-208564503-5682</Description>
    </_dlc_DocIdUrl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4A5B8E603F2F447927351474D791E28" ma:contentTypeVersion="1" ma:contentTypeDescription="Создание документа." ma:contentTypeScope="" ma:versionID="868ffd4e421538db69024e246c0d602d">
  <xsd:schema xmlns:xsd="http://www.w3.org/2001/XMLSchema" xmlns:xs="http://www.w3.org/2001/XMLSchema" xmlns:p="http://schemas.microsoft.com/office/2006/metadata/properties" xmlns:ns2="b8a301b8-fba3-4a56-9ee3-0e2775d83ffb" targetNamespace="http://schemas.microsoft.com/office/2006/metadata/properties" ma:root="true" ma:fieldsID="7c95ad6c5f32494a945af1673268ec41" ns2:_="">
    <xsd:import namespace="b8a301b8-fba3-4a56-9ee3-0e2775d83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301b8-fba3-4a56-9ee3-0e2775d83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9E458-4FAD-4F0A-BBC6-AA6BF6BAE011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b8a301b8-fba3-4a56-9ee3-0e2775d83ffb"/>
  </ds:schemaRefs>
</ds:datastoreItem>
</file>

<file path=customXml/itemProps2.xml><?xml version="1.0" encoding="utf-8"?>
<ds:datastoreItem xmlns:ds="http://schemas.openxmlformats.org/officeDocument/2006/customXml" ds:itemID="{D3724625-2B14-41DA-993B-7FBBB29D739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AAC4E4A-98FB-428B-9479-1ACAD5BA7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301b8-fba3-4a56-9ee3-0e2775d83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09E294-11E8-4658-9157-C07657B2720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E3FBCF0-173F-4B11-B56D-B7E8009CAE5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0AC6E6D-9F77-4E23-8097-2D96ABE7B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2409</Characters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</vt:lpstr>
    </vt:vector>
  </TitlesOfParts>
  <LinksUpToDate>false</LinksUpToDate>
  <CharactersWithSpaces>2663</CharactersWithSpaces>
  <SharedDoc>false</SharedDoc>
  <HLinks>
    <vt:vector size="6" baseType="variant"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2022-04-04T15:05:00Z</cp:lastPrinted>
  <dcterms:created xsi:type="dcterms:W3CDTF">2022-04-11T19:27:00Z</dcterms:created>
  <dcterms:modified xsi:type="dcterms:W3CDTF">2022-04-11T19:27:00Z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98SortOrder">
    <vt:lpwstr>276.000000000000</vt:lpwstr>
  </property>
  <property fmtid="{D5CDD505-2E9C-101B-9397-08002B2CF9AE}" pid="3" name="_dlc_DocId">
    <vt:lpwstr>C5XH6UR5DHTA-526654413-238</vt:lpwstr>
  </property>
  <property fmtid="{D5CDD505-2E9C-101B-9397-08002B2CF9AE}" pid="4" name="_dlc_DocIdItemGuid">
    <vt:lpwstr>d0bb3cff-aefa-435c-bf92-58bf99c8ae12</vt:lpwstr>
  </property>
  <property fmtid="{D5CDD505-2E9C-101B-9397-08002B2CF9AE}" pid="5" name="_dlc_DocIdUrl">
    <vt:lpwstr>https://simr.cbr.ru/douad/_layouts/15/DocIdRedir.aspx?ID=C5XH6UR5DHTA-526654413-238, C5XH6UR5DHTA-526654413-238</vt:lpwstr>
  </property>
  <property fmtid="{D5CDD505-2E9C-101B-9397-08002B2CF9AE}" pid="6" name="ContentTypeId">
    <vt:lpwstr>0x01010034A5B8E603F2F447927351474D791E28</vt:lpwstr>
  </property>
</Properties>
</file>