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AC" w:rsidRPr="0066668C" w:rsidRDefault="00BC25AC" w:rsidP="003866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8C">
        <w:rPr>
          <w:rFonts w:ascii="Times New Roman" w:hAnsi="Times New Roman" w:cs="Times New Roman"/>
          <w:b/>
          <w:sz w:val="28"/>
          <w:szCs w:val="28"/>
        </w:rPr>
        <w:t>Чек-лист самоконтроля при заполнении справок о доходах, расходах, об имуществе и обязательствах имущественного характера, представляемых в ходе декларационной кампании 202</w:t>
      </w:r>
      <w:r w:rsidR="009A7344" w:rsidRPr="0066668C">
        <w:rPr>
          <w:rFonts w:ascii="Times New Roman" w:hAnsi="Times New Roman" w:cs="Times New Roman"/>
          <w:b/>
          <w:sz w:val="28"/>
          <w:szCs w:val="28"/>
        </w:rPr>
        <w:t>1</w:t>
      </w:r>
      <w:r w:rsidR="00DD6F0E" w:rsidRPr="00DD6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8C">
        <w:rPr>
          <w:rFonts w:ascii="Times New Roman" w:hAnsi="Times New Roman" w:cs="Times New Roman"/>
          <w:b/>
          <w:sz w:val="28"/>
          <w:szCs w:val="28"/>
        </w:rPr>
        <w:t>года служащим Банка России в отношении себя, своей (своего) супруги (супруга) и несовершеннолетних детей</w:t>
      </w:r>
    </w:p>
    <w:p w:rsidR="008A744B" w:rsidRPr="0066668C" w:rsidRDefault="00080819" w:rsidP="00BC25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8C">
        <w:rPr>
          <w:rFonts w:ascii="Times New Roman" w:hAnsi="Times New Roman" w:cs="Times New Roman"/>
          <w:b/>
          <w:sz w:val="28"/>
          <w:szCs w:val="28"/>
        </w:rPr>
        <w:t>(подробный)</w:t>
      </w:r>
    </w:p>
    <w:p w:rsidR="00154757" w:rsidRPr="0066668C" w:rsidRDefault="00154757" w:rsidP="008A74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668C">
        <w:rPr>
          <w:rFonts w:ascii="Times New Roman" w:hAnsi="Times New Roman" w:cs="Times New Roman"/>
          <w:sz w:val="28"/>
          <w:szCs w:val="28"/>
        </w:rPr>
        <w:t>(«+» требование выполнено или неприменимо, «-» требование не выполнено)</w:t>
      </w:r>
    </w:p>
    <w:p w:rsidR="008A744B" w:rsidRPr="0066668C" w:rsidRDefault="008A744B" w:rsidP="00062196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51" w:type="dxa"/>
        <w:jc w:val="center"/>
        <w:tblLook w:val="04A0" w:firstRow="1" w:lastRow="0" w:firstColumn="1" w:lastColumn="0" w:noHBand="0" w:noVBand="1"/>
      </w:tblPr>
      <w:tblGrid>
        <w:gridCol w:w="617"/>
        <w:gridCol w:w="11747"/>
        <w:gridCol w:w="925"/>
        <w:gridCol w:w="1054"/>
        <w:gridCol w:w="1008"/>
      </w:tblGrid>
      <w:tr w:rsidR="0066668C" w:rsidRPr="0066668C" w:rsidTr="00CF100A">
        <w:trPr>
          <w:jc w:val="center"/>
        </w:trPr>
        <w:tc>
          <w:tcPr>
            <w:tcW w:w="617" w:type="dxa"/>
            <w:vMerge w:val="restart"/>
            <w:vAlign w:val="center"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747" w:type="dxa"/>
            <w:vMerge w:val="restart"/>
            <w:vAlign w:val="center"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Вопросы для самоконтроля</w:t>
            </w:r>
          </w:p>
        </w:tc>
        <w:tc>
          <w:tcPr>
            <w:tcW w:w="2987" w:type="dxa"/>
            <w:gridSpan w:val="3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«+»/«-»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  <w:vMerge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7" w:type="dxa"/>
            <w:vMerge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5" w:type="dxa"/>
            <w:vAlign w:val="center"/>
          </w:tcPr>
          <w:p w:rsidR="00B83D37" w:rsidRPr="0066668C" w:rsidRDefault="00B83D37" w:rsidP="00AE5B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6668C">
              <w:rPr>
                <w:rFonts w:ascii="Times New Roman" w:hAnsi="Times New Roman" w:cs="Times New Roman"/>
                <w:b/>
              </w:rPr>
              <w:t>Слу</w:t>
            </w:r>
            <w:r w:rsidR="00AE5BE3" w:rsidRPr="0066668C">
              <w:rPr>
                <w:rFonts w:ascii="Times New Roman" w:hAnsi="Times New Roman" w:cs="Times New Roman"/>
                <w:b/>
              </w:rPr>
              <w:t>-</w:t>
            </w:r>
            <w:r w:rsidRPr="0066668C">
              <w:rPr>
                <w:rFonts w:ascii="Times New Roman" w:hAnsi="Times New Roman" w:cs="Times New Roman"/>
                <w:b/>
              </w:rPr>
              <w:t>ж</w:t>
            </w:r>
            <w:r w:rsidR="00AE5BE3" w:rsidRPr="0066668C">
              <w:rPr>
                <w:rFonts w:ascii="Times New Roman" w:hAnsi="Times New Roman" w:cs="Times New Roman"/>
                <w:b/>
              </w:rPr>
              <w:t>ащий</w:t>
            </w:r>
            <w:proofErr w:type="spellEnd"/>
            <w:proofErr w:type="gramEnd"/>
          </w:p>
        </w:tc>
        <w:tc>
          <w:tcPr>
            <w:tcW w:w="1054" w:type="dxa"/>
            <w:vAlign w:val="center"/>
          </w:tcPr>
          <w:p w:rsidR="00B83D37" w:rsidRPr="0066668C" w:rsidRDefault="00B83D37" w:rsidP="00A47B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Супруга (супруг)</w:t>
            </w:r>
          </w:p>
        </w:tc>
        <w:tc>
          <w:tcPr>
            <w:tcW w:w="1008" w:type="dxa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Н/</w:t>
            </w:r>
            <w:proofErr w:type="gramStart"/>
            <w:r w:rsidRPr="0066668C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66668C">
              <w:rPr>
                <w:rFonts w:ascii="Times New Roman" w:hAnsi="Times New Roman" w:cs="Times New Roman"/>
                <w:b/>
              </w:rPr>
              <w:t xml:space="preserve"> ребенок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024E43" w:rsidP="00A47B9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правка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заполнена 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с использованием СПО «Справка БК»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Дата и время печати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указанные на листах справки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="00024E43" w:rsidRPr="0066668C">
              <w:rPr>
                <w:rFonts w:ascii="Times New Roman" w:hAnsi="Times New Roman"/>
                <w:sz w:val="28"/>
                <w:szCs w:val="28"/>
              </w:rPr>
              <w:t xml:space="preserve"> совпадают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46562" w:rsidRPr="0066668C" w:rsidRDefault="00446562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46562" w:rsidRPr="0066668C" w:rsidRDefault="00446562" w:rsidP="000A541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0A5412" w:rsidRPr="0066668C">
              <w:rPr>
                <w:rFonts w:ascii="Times New Roman" w:hAnsi="Times New Roman" w:cs="Times New Roman"/>
                <w:sz w:val="28"/>
                <w:szCs w:val="28"/>
              </w:rPr>
              <w:t>готова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412" w:rsidRPr="0066668C">
              <w:rPr>
                <w:rFonts w:ascii="Times New Roman" w:hAnsi="Times New Roman" w:cs="Times New Roman"/>
                <w:sz w:val="28"/>
                <w:szCs w:val="28"/>
              </w:rPr>
              <w:t>до 01 апреля</w:t>
            </w:r>
          </w:p>
        </w:tc>
        <w:tc>
          <w:tcPr>
            <w:tcW w:w="925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1"/>
          <w:jc w:val="center"/>
        </w:trPr>
        <w:tc>
          <w:tcPr>
            <w:tcW w:w="15351" w:type="dxa"/>
            <w:gridSpan w:val="5"/>
            <w:vAlign w:val="center"/>
          </w:tcPr>
          <w:p w:rsidR="00D165DC" w:rsidRPr="0066668C" w:rsidRDefault="00D165DC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Титульный лист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B83D37" w:rsidRPr="0066668C" w:rsidRDefault="00024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графе «Наименование подразделения, к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уда предоставляется справка» указан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Департамент кадровой политики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Указано место работы</w:t>
            </w:r>
            <w:r w:rsidR="0035514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 должность служащего Банка России, котор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он занимал</w:t>
            </w:r>
            <w:r w:rsidR="005D35E6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временно переведен или было возложено исполнение обязанностей,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31 декабря отчетного </w:t>
            </w:r>
            <w:r w:rsidR="00A163B3" w:rsidRPr="0066668C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A005D" w:rsidRPr="0066668C" w:rsidRDefault="004A005D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A005D" w:rsidRPr="0066668C" w:rsidRDefault="004A005D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 страховой номер индивидуального лицевого счета (СНИЛС)</w:t>
            </w:r>
          </w:p>
        </w:tc>
        <w:tc>
          <w:tcPr>
            <w:tcW w:w="925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ребенка) (номер, дата выдачи, орган выдавший документ, код подразделения) соответствуют фактическим</w:t>
            </w:r>
            <w:r w:rsidR="00DD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(на дату представления справки)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смены паспорта в отчетном периоде (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наступлении определенного возраста, изменения фамилии) указаны новые паспортные данные 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несовпадения адреса регистрации с адресо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 адрес фактического 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указан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окне адрес регистрации в строке «дополнительная информация» 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FE2C23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дрес регистрации </w:t>
            </w:r>
            <w:r w:rsidR="004A005D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(в т.ч. временной регистрации)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фактического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Федерации, района, города, иного населенного пункта, улицы, номер дома</w:t>
            </w:r>
            <w:r w:rsidR="0084756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корпуса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 квартиры, почтовый индекс)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724979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="00DC55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507" w:rsidRPr="006F589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 дату представления справки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507" w:rsidRPr="006F589C">
              <w:rPr>
                <w:rFonts w:ascii="Times New Roman" w:hAnsi="Times New Roman" w:cs="Times New Roman"/>
                <w:sz w:val="28"/>
                <w:szCs w:val="28"/>
              </w:rPr>
              <w:t>на основании записи в паспорте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ином документе, подтверждающем регистрацию по месту жительства</w:t>
            </w:r>
            <w:r w:rsidR="00DC550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FE2C23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 w:rsidR="00724979"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совпадает с адресом фактического проживания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дет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C0A" w:rsidRPr="0066668C" w:rsidTr="00CF100A">
        <w:trPr>
          <w:jc w:val="center"/>
        </w:trPr>
        <w:tc>
          <w:tcPr>
            <w:tcW w:w="617" w:type="dxa"/>
          </w:tcPr>
          <w:p w:rsidR="00DC3C0A" w:rsidRPr="0066668C" w:rsidRDefault="00DC3C0A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3C0A" w:rsidRPr="0066668C" w:rsidRDefault="00DC3C0A" w:rsidP="00340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месте регистрации (фактическом проживании) с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сведениям, указанным в подразделах 3.1 и 6.1 справки</w:t>
            </w:r>
          </w:p>
        </w:tc>
        <w:tc>
          <w:tcPr>
            <w:tcW w:w="925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Указано место работы и должность супруги (супруга), которую она (он) занимала (занимал) по состоянию на 31 декабря отчетного периода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у супруги (супруга) основного места работы (службы), указан ее (его) род занятий по состоянию на 31 декабря отчетного периода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 род занятий несовершеннолетних детей по состоянию на 31 декабря отчетного периода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A86E2D" w:rsidP="00A86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справке несовершеннолетних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указаны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 и город нахождения (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указано 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«находится на домашнем воспитании»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BB1E43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ериод, за который представляется справка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с 01.01.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 по 31.12.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. Также указана отчетная дата 31.12.ХХХХ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65"/>
          <w:jc w:val="center"/>
        </w:trPr>
        <w:tc>
          <w:tcPr>
            <w:tcW w:w="15351" w:type="dxa"/>
            <w:gridSpan w:val="5"/>
            <w:vAlign w:val="center"/>
          </w:tcPr>
          <w:p w:rsidR="009D6E4B" w:rsidRPr="0066668C" w:rsidRDefault="009D6E4B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1</w:t>
            </w:r>
            <w:r w:rsidR="00AE5BE3"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Сведения о доходах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Полученные доходы, в том числе по основному месту работы, указаны без вычета налога на доходы физических лиц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3120B" w:rsidRPr="0034028B" w:rsidRDefault="0013120B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трудоустройства в Банк России (для служащих), 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организацию (для супруг (супругов)) в отчетном периоде (смена основного места работы), доход, полученный по предыдущему месту работы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строке «Иные доходы» с указанием в графе «Вид дохода» как доход по предыдущему месту работы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E48" w:rsidRPr="0066668C" w:rsidTr="00CF100A">
        <w:trPr>
          <w:jc w:val="center"/>
        </w:trPr>
        <w:tc>
          <w:tcPr>
            <w:tcW w:w="617" w:type="dxa"/>
          </w:tcPr>
          <w:p w:rsidR="001C1E48" w:rsidRPr="0066668C" w:rsidRDefault="001C1E48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C1E48" w:rsidRPr="0034028B" w:rsidRDefault="001C1E48" w:rsidP="0013120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строке «Доход от педагогической и научной деятельности» указана </w:t>
            </w:r>
            <w:r w:rsidRPr="0034028B">
              <w:rPr>
                <w:rFonts w:ascii="Times New Roman" w:hAnsi="Times New Roman"/>
                <w:sz w:val="28"/>
                <w:szCs w:val="28"/>
              </w:rPr>
              <w:t xml:space="preserve">сумма дохода от педагогической деятельности и дохода от научной деятельности </w:t>
            </w:r>
            <w:r w:rsidRPr="00FC2BB6">
              <w:rPr>
                <w:rFonts w:ascii="Times New Roman" w:hAnsi="Times New Roman"/>
                <w:sz w:val="24"/>
                <w:szCs w:val="28"/>
              </w:rPr>
              <w:t>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</w:t>
            </w:r>
          </w:p>
        </w:tc>
        <w:tc>
          <w:tcPr>
            <w:tcW w:w="925" w:type="dxa"/>
          </w:tcPr>
          <w:p w:rsidR="001C1E48" w:rsidRPr="0066668C" w:rsidRDefault="001C1E48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C1E48" w:rsidRPr="0066668C" w:rsidRDefault="001C1E48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C1E48" w:rsidRPr="0066668C" w:rsidRDefault="001C1E48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34028B" w:rsidRDefault="0013120B" w:rsidP="00DC2B11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8B">
              <w:rPr>
                <w:rFonts w:ascii="Times New Roman" w:hAnsi="Times New Roman"/>
                <w:sz w:val="28"/>
                <w:szCs w:val="28"/>
              </w:rPr>
              <w:t>В строке «Доход</w:t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t xml:space="preserve"> от вкладов в банках и иных кредитных организациях» указана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</w:t>
            </w:r>
            <w:r w:rsidR="00DC2B11" w:rsidRPr="0034028B">
              <w:rPr>
                <w:rFonts w:ascii="Times New Roman" w:hAnsi="Times New Roman"/>
                <w:strike/>
                <w:sz w:val="28"/>
                <w:szCs w:val="28"/>
              </w:rPr>
              <w:t>*</w:t>
            </w:r>
          </w:p>
          <w:p w:rsidR="0013120B" w:rsidRPr="00FC2BB6" w:rsidRDefault="00DC2B11" w:rsidP="00DC2B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B6">
              <w:rPr>
                <w:rFonts w:ascii="Times New Roman" w:hAnsi="Times New Roman"/>
                <w:sz w:val="24"/>
                <w:szCs w:val="24"/>
              </w:rPr>
              <w:lastRenderedPageBreak/>
              <w:t>*доход, полученный в иностранной валюте, указывается в рублях по курсу Банка России на дату получения дохода, датой получения дохода по вкладам в банках является день выплаты дохода, в том числе день перечисления дохода на счет служащего либо по его поручению на счета третьих лиц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DC2B11" w:rsidP="00DC2B11">
            <w:pPr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Не отражены как доход денежные средства, выплаченные кредитной организацией при закрытии вклада (счета), в том числе в драгоценных металлах, за исключением процентов по вкладу (счету)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60353" w:rsidRPr="0066668C" w:rsidRDefault="00760353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60353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Доход, полученный в отчетном году по ценным бумагам, включая доход от операций с ценными бумагами, указан в строке «Доход от ценных бумаг и долей участия в коммерческих организациях». Доход указан от операций с ценными бумагами в величине суммы финансового результата, а не всей суммы от операций с ними</w:t>
            </w:r>
          </w:p>
        </w:tc>
        <w:tc>
          <w:tcPr>
            <w:tcW w:w="925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60353" w:rsidRPr="0066668C" w:rsidRDefault="00760353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60353" w:rsidRPr="0066668C" w:rsidRDefault="00760353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строке «Иные доходы» отражены доходы, выплаченные в отчетном периоде подразделением Банка России, в котором служащий ранее работал (например, годовая премия или ее часть за позапрошлый год при перечислении в прошлом году)</w:t>
            </w:r>
          </w:p>
        </w:tc>
        <w:tc>
          <w:tcPr>
            <w:tcW w:w="925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строке «Иные доходы» указаны сведения о доходах, полученных от сдачи в аренду или иного пользования недвижимого имущества, транспортных средств, в том числе доходы, полученные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имущества, передан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ого в доверительное управление (траст)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полученные от реализации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</w:t>
            </w:r>
            <w:r w:rsidR="00140099" w:rsidRPr="0066668C">
              <w:rPr>
                <w:rFonts w:ascii="Times New Roman" w:hAnsi="Times New Roman" w:cs="Times New Roman"/>
                <w:sz w:val="28"/>
                <w:szCs w:val="28"/>
              </w:rPr>
              <w:t>включая доходы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хеме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, дол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и имущества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отражены в строке «Иные доходы», в том числе в случае продажи указанного имущества родственникам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181"/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DC2B11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 доход </w:t>
            </w:r>
            <w:r w:rsidR="0076035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трудовым договорам 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совместительству в строке «Иные доходы» 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Выплаты, полученные в отчетном году по договорам страхования (в отношении каждого договора отдельно), указаны в строке «Иные доходы»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0B2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указаны доходы, которые не отражены в строках 1-5, но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которые перечислены в пункте 60 Методических рекомендаций 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(в том числе алименты, пенсия, стипендия, выплаты членам многодетной семьи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 xml:space="preserve">, пособие 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 xml:space="preserve"> и др.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DC3C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указаны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ежемесячные и единовременные выплаты, а также субсидии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в пункте 61 Методических рекомендаций 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7101" w:rsidRPr="00FC2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жемесячные выплаты на ребенка и в целях обеспечения социальной поддержки семей, субсидии и единовременные выплаты)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не указаны </w:t>
            </w:r>
            <w:r w:rsidRPr="006666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 денежных средствах, касающихся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возмещения расходов, понесенных служащим Банка России, его супругой, несовершеннолетним ребенком, в том числе связанных с обстоятельствами, перечисленными в пунктах 63, 64 и 65 Методических рекомендаций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 xml:space="preserve">(со служебными командировками; с оплатой проезда и провоза багажа к месту использования отпуска и обратно;  с приобретением проездных документов для исполнения служебных (должностных) обязанностей; с оплатой коммунальных и иных услуг, наймом жилого помещения; с внесением родительской платы за посещение дошкольного образовательного учреждения; с оформлением нотариальной доверенности, почтовыми расходами, расходами на оплату услуг представителя (возмещаются по решению суда); социальные, имущественный, инвестиционный налоговый вычет; от продажи различного вида подарочных сертификатов (карт), выпущенных предприятиями торговли; в качестве бонусных баллов, бонусов на накопительных дисконтных картах, начисленных банками и иными организациями за пользование их услугами, в том числе в виде денежных средств («кэшбэк сервис»); 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возврата налога на добавленную стоимость, уплаченного при совершении покупок за границей, по чекам 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Tax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>-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free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Заполнены строки «Доход по основному месту работы» (при указанном в справке основном месте работы) или «Иные доходы» (при указанном ином роде занятия), а также строки «Итого доход за отчетный период»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29"/>
          <w:jc w:val="center"/>
        </w:trPr>
        <w:tc>
          <w:tcPr>
            <w:tcW w:w="15351" w:type="dxa"/>
            <w:gridSpan w:val="5"/>
            <w:vAlign w:val="center"/>
          </w:tcPr>
          <w:p w:rsidR="00140099" w:rsidRPr="0066668C" w:rsidRDefault="0014009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2. Сведения о расходах</w:t>
            </w:r>
            <w:r w:rsidR="00B43E86">
              <w:rPr>
                <w:rStyle w:val="af5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footnoteReference w:id="1"/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2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сведения о расходах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по сделке (сделкам) по приобретению объектов недвижимого имущества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транспортно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ценны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х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бумаг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(дол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участия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, паев в уставных капиталах организаций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)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452D">
              <w:rPr>
                <w:rFonts w:ascii="Times New Roman" w:hAnsi="Times New Roman"/>
                <w:sz w:val="28"/>
                <w:szCs w:val="28"/>
              </w:rPr>
              <w:t>если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 xml:space="preserve"> общая сумма совершенных сделок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превышает 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общий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доход служащего и его супруги (супруга) за три последних года, предшествующих отчетному периоду 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DE76A2" w:rsidP="00CD7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графе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Основания приобретения имущества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указаны регистрационный номер и дата записи в Едином государственном реестре недвижимости (ЕГРН),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</w:t>
            </w:r>
          </w:p>
        </w:tc>
        <w:tc>
          <w:tcPr>
            <w:tcW w:w="925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являющегося основанием для возникновения права собственности по приобретенному в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имуществу, приложена к справке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D7101" w:rsidRPr="0066668C" w:rsidRDefault="00CD7101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D7101" w:rsidRPr="0066668C" w:rsidRDefault="00CD7101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о расходах соответствует информации о появившемся новом имуществе в соответствующих разделах справки</w:t>
            </w:r>
          </w:p>
        </w:tc>
        <w:tc>
          <w:tcPr>
            <w:tcW w:w="925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B43E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приобретенного имущества, стоимость которого превышает 3-х летний доход служащего и супруги (супруга), указаны источники дохода</w:t>
            </w:r>
            <w:r w:rsidR="007645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размер полученного дохода по каждому из </w:t>
            </w:r>
            <w:r w:rsidR="0076452D">
              <w:rPr>
                <w:rFonts w:ascii="Times New Roman" w:hAnsi="Times New Roman"/>
                <w:sz w:val="28"/>
                <w:szCs w:val="28"/>
              </w:rPr>
              <w:t xml:space="preserve">таких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не указаны сведения об имуществе, приобретенном в результате совершения безвозмездной сделки (наследование, дарение), а также имуществе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полученном без совершения сделки по его приобретению (например, возведение жилого дома на земельном участке)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3. Сведения об имуществе</w:t>
            </w:r>
          </w:p>
        </w:tc>
      </w:tr>
      <w:tr w:rsidR="0066668C" w:rsidRPr="0066668C" w:rsidTr="00B275B9">
        <w:trPr>
          <w:trHeight w:val="56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3.1. Недвижимое имущество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43E86" w:rsidRPr="0066668C" w:rsidRDefault="00B43E86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все объекты недвижимо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го имущества (земельные участки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дома, строения, и т.д.) на которые имеется 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независимо от того, когда они были приобретены, в каком регионе Российской Федерации или в каком государстве зарегистрированы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каждый объект недвижимости, на который зарегистрировано право собственности, указан отдельно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2C2C74" w:rsidP="00DE31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объекты недвижимости включено имущество,</w:t>
            </w:r>
            <w:r w:rsidR="00DE31C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DE31C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участия в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долевом строительстве, по которому полностью внесен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паевой взнос,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оно предоставлено кооперативом</w:t>
            </w:r>
            <w:r w:rsidR="00DE31C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но право собственности на которое не зарегистрировано в установленном порядке (не осуществлена регистрация в </w:t>
            </w:r>
            <w:proofErr w:type="spellStart"/>
            <w:r w:rsidR="00DE31C2" w:rsidRPr="0066668C"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 w:rsidR="00DE31C2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E76A2" w:rsidRPr="0066668C" w:rsidRDefault="00DE76A2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E76A2" w:rsidRPr="0066668C" w:rsidRDefault="00DE76A2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объекты недвижимости включено имущество, полученное в порядке наследования (выдано свидетельство о праве на наследство) или по решению суда (вступило в законную силу</w:t>
            </w:r>
            <w:r w:rsidR="00CD56AE" w:rsidRPr="0066668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CD56AE" w:rsidRPr="0066668C">
              <w:rPr>
                <w:rFonts w:ascii="Times New Roman" w:hAnsi="Times New Roman"/>
                <w:sz w:val="28"/>
                <w:szCs w:val="28"/>
              </w:rPr>
              <w:t xml:space="preserve"> право собственности на которое не зарегистрировано в установленном порядке (не осуществлена регистрация в </w:t>
            </w:r>
            <w:proofErr w:type="spellStart"/>
            <w:r w:rsidR="00CD56AE" w:rsidRPr="0066668C">
              <w:rPr>
                <w:rFonts w:ascii="Times New Roman" w:hAnsi="Times New Roman"/>
                <w:sz w:val="28"/>
                <w:szCs w:val="28"/>
              </w:rPr>
              <w:t>Росреестре</w:t>
            </w:r>
            <w:proofErr w:type="spellEnd"/>
            <w:r w:rsidR="00CD56AE" w:rsidRPr="006666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1E90" w:rsidRPr="0066668C" w:rsidRDefault="00101E90" w:rsidP="00101E90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в качестве самостоятельного объекта недвижимости участок под гаражным боксом в случае, если на гаражный бокс и земельный участок имеются два разных правоустанавливающих документа (если в собственности только строение, то земельный участок под ним находится в пользовании и отражается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правки*</w:t>
            </w:r>
          </w:p>
          <w:p w:rsidR="00AE59E9" w:rsidRPr="0066668C" w:rsidRDefault="00101E90" w:rsidP="00101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6668C">
              <w:rPr>
                <w:sz w:val="24"/>
                <w:szCs w:val="24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Не указывается участок, если сам гараж (ГСК) или место для стоянки (</w:t>
            </w:r>
            <w:proofErr w:type="spellStart"/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) автомобиля находится во временном пользовании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все необходимые данные каждого объекта недвижимости, находящегося в собственности: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объекта недвижимости (</w:t>
            </w:r>
            <w:proofErr w:type="spell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. 8</w:t>
            </w:r>
            <w:r w:rsidR="002C2C74" w:rsidRPr="00666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2C74" w:rsidRPr="006666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2C74" w:rsidRPr="0066668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вид собственности (п. </w:t>
            </w:r>
            <w:r w:rsidR="002C2C74" w:rsidRPr="0066668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размер доли лица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(индекс, город, улица, дом, квартира) (п. 9</w:t>
            </w:r>
            <w:r w:rsidR="002C2C74" w:rsidRPr="00666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 (п. 9</w:t>
            </w:r>
            <w:r w:rsidR="002C2C74" w:rsidRPr="00666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наименование и реквизиты документа, являющегося основанием для возникновения права собственности: реквизиты (серия, номер и дата выдачи) свидетельства о государственной регистрации прав на недвижимое имущество или номер и дата государственной регистрации права из выписки ЕГРН, а также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 и </w:t>
            </w:r>
            <w:proofErr w:type="gram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др.)</w:t>
            </w:r>
            <w:r w:rsidR="00101E90" w:rsidRPr="0066668C">
              <w:rPr>
                <w:rFonts w:ascii="Times New Roman" w:hAnsi="Times New Roman"/>
                <w:strike/>
                <w:sz w:val="28"/>
              </w:rPr>
              <w:t>*</w:t>
            </w:r>
            <w:proofErr w:type="gramEnd"/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оформленные до 2017 года - № свидетельства (бланка) и его дата, № государственной регистрации в Едином государственном реестре недвижимости;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оформленные после 2017 года - выписка из Единого государственного реестра недвижимости и № государственной регистрации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2C74" w:rsidRPr="0066668C" w:rsidRDefault="00AE59E9" w:rsidP="002C2C7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если право на недвижимое имущество возникло до 1997 года - № регистрации со штампа в БТИ на правоустанавливающем документе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подтверждающем основание приобретения права собственности (например, постановление Исполкома города от 15.03.1995 г. № 1-345/95 о передаче недвижимого имущества в собственность и др.)</w:t>
            </w:r>
            <w:r w:rsidR="002C2C74" w:rsidRPr="0066668C">
              <w:rPr>
                <w:rFonts w:ascii="Times New Roman" w:hAnsi="Times New Roman"/>
                <w:strike/>
                <w:sz w:val="28"/>
              </w:rPr>
              <w:t xml:space="preserve"> </w:t>
            </w:r>
          </w:p>
          <w:p w:rsidR="002C2C74" w:rsidRPr="0066668C" w:rsidRDefault="002C2C74" w:rsidP="00101E9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0"/>
                <w:szCs w:val="20"/>
              </w:rPr>
              <w:t>*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50 НД № 776723 от 17 марта 2010 г.; Запись в ЕГРН</w:t>
            </w:r>
            <w:r w:rsidR="00FC2BB6">
              <w:rPr>
                <w:rFonts w:ascii="Times New Roman" w:hAnsi="Times New Roman"/>
                <w:sz w:val="24"/>
                <w:szCs w:val="24"/>
              </w:rPr>
              <w:br/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№ 77:02:0014017:1994-72/004/2020-2 от 27 марта 2020 г.; договор купли-продажи от 19 февраля 2020 г. или иное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объекта недвижимости в отчетном периоде, указанного в справках за предыдущие периоды, он исключен из пункта 3.1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недвижимости, указанный в справке как находящийся в собственности одного из супругов (в случае совместного проживания в данном объекте недвижимости), указан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как находящийся в пользовании у остальных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имущество, доходы от сдачи в аренду которого отражены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45" w:rsidRPr="0066668C" w:rsidTr="00CF100A">
        <w:trPr>
          <w:jc w:val="center"/>
        </w:trPr>
        <w:tc>
          <w:tcPr>
            <w:tcW w:w="617" w:type="dxa"/>
          </w:tcPr>
          <w:p w:rsidR="00863545" w:rsidRPr="0066668C" w:rsidRDefault="0086354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863545" w:rsidRPr="0066668C" w:rsidRDefault="00863545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 источник получения средств, за счет которых приобретено имущество (применимо только в отношении имущества, находящегося за пределами территории Российской Федерации)</w:t>
            </w:r>
          </w:p>
        </w:tc>
        <w:tc>
          <w:tcPr>
            <w:tcW w:w="925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48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3.2 Транспортные средства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транспортные средства, находящиеся в собственности,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независимо от того, когда они были приобретены, в каком регионе Российской Федерации или в каком государстве зарегистрированы, в том числе транспортные средства, переданные в пользование по доверенности, находящиеся в угоне, в залоге у банка, полностью негодные к эксплуатации, снятые с регистрационного учета и т.д., с учетом особенностей, указанных в пунктах 104</w:t>
            </w:r>
            <w:r w:rsidR="00117C94" w:rsidRPr="0066668C">
              <w:rPr>
                <w:rFonts w:ascii="Times New Roman" w:hAnsi="Times New Roman"/>
                <w:sz w:val="28"/>
                <w:szCs w:val="28"/>
              </w:rPr>
              <w:t xml:space="preserve">-109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Методических рекомендаций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транспортному средству отражены: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транспортного средства, его марка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год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свидетельств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регистрации)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наименование органа внутренних дел, осуществившего регистрационный учет транспортного средства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17C94" w:rsidRPr="0066668C" w:rsidRDefault="00117C94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17C94" w:rsidRPr="0066668C" w:rsidRDefault="00117C94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транспортное средство, доходы от сдачи в аренду которого отражены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транспортного средства, указанного в справках за предыдущие периоды, он исключен из пункта 3.2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(в том числе по схеме TRADE-IN)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3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4. Сведения о счетах в банках и иных кредитных организациях</w:t>
            </w:r>
          </w:p>
        </w:tc>
      </w:tr>
      <w:tr w:rsidR="0066668C" w:rsidRPr="0066668C" w:rsidTr="00CF100A">
        <w:trPr>
          <w:trHeight w:val="766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все счета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(зарплатные, расчетные, кредитные и т.д.)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открытые в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банках и иных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организациях, в том числе металлические счета, счета, совершение операций по которым осуществляется с использованием различного вида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694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 и иной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организации, а также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указаны полностью и правильно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Наименование вида счета соответствует видам счетов, предусмотренным Инструкцией Банка России от 30.05.2014 № 153-И «Об открытии и закрытии банковских счетов, счетов по вкладам (депозитам), депозитных счетов» или федеральным законом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Вид и валюта счета указаны корректно. При этом указание вида счета «карточный счет» (по кредитным и зарплатным картам) не допущено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Для указания даты открытия счета использована достоверная информация (не позднее отчетной даты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 xml:space="preserve">в графе «Дата открытия счета» </w:t>
            </w:r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не допускается указание даты выпуска (</w:t>
            </w:r>
            <w:proofErr w:type="spellStart"/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перевыпуска</w:t>
            </w:r>
            <w:proofErr w:type="spellEnd"/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 платежной карты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Банковский счет, открываемый при выдаче «Социальной карты москвича», указан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Проверена дата открытия счета в случае присоединения одного банка к другому (в этом случае дата открытия счета не меняется)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Указана информация о совместном счете, в случае заключения договора банковского счета с несколькими клиентами (совместный счет). При заключении договора совместного счета клиентами-супругами в каждой подаваемой справке представлена идентичная информация о таком счете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Остаток средств на счетах, открытых в иностранной валюте, указан в рублях по курсу Банка России</w:t>
            </w:r>
            <w:r w:rsidR="00ED63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установленному на 31 декабря отчетного периода, а не на дату формирования выписки по счету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340" w:rsidRPr="0066668C" w:rsidTr="00CF100A">
        <w:trPr>
          <w:jc w:val="center"/>
        </w:trPr>
        <w:tc>
          <w:tcPr>
            <w:tcW w:w="617" w:type="dxa"/>
          </w:tcPr>
          <w:p w:rsidR="00ED6340" w:rsidRPr="0066668C" w:rsidRDefault="00ED634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D6340" w:rsidRPr="0066668C" w:rsidRDefault="00ED634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счете указан по состоянию на отчетную дату</w:t>
            </w:r>
          </w:p>
        </w:tc>
        <w:tc>
          <w:tcPr>
            <w:tcW w:w="925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Отражена стоимость драгоценного металла на отчетную дату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(не на дату формирования выписки по счету)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рублях исходя из установленных Банком России цен на аффинированные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не превышает общий доход </w:t>
            </w:r>
            <w:r w:rsidR="00FC2BB6" w:rsidRPr="0066668C">
              <w:rPr>
                <w:rFonts w:ascii="Times New Roman" w:hAnsi="Times New Roman" w:cs="Times New Roman"/>
                <w:sz w:val="28"/>
                <w:szCs w:val="28"/>
              </w:rPr>
              <w:t>служащего и супруги (супруга)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и два предшествующих года, то в СПО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Справки БК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подтверждено данное обстоятельство путем проставления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флажка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66668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] напротив соответствующей позиции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превышает общий доход служащего и супруги (супруга) за отчетный период и два предшествующих ему года, выписка по счету за отчетный период приложена к справке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4B0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счетов, открытых по кредитным и иным договорам, финансовые обязательства отражены в разделе 6.2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«Срочные обязательства финансового характера»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Номинальные счета и счета </w:t>
            </w:r>
            <w:proofErr w:type="spell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, а также счета, открытые гражданам, зарегистрированным в качестве индивидуальных предпринимателей, отражены в разделе 4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  <w:p w:rsidR="00AE59E9" w:rsidRPr="0066668C" w:rsidRDefault="00AE59E9" w:rsidP="00A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 прилагать выписку о движении денежных средств по банковскому счету ИП не требуется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Счета, открытые не на основании гражданско-правового договора счета, счета депо, счета брокера, индивидуальные инвестиционные счета в разделе не указаны</w:t>
            </w:r>
            <w:r w:rsidR="00ED6340">
              <w:rPr>
                <w:rFonts w:ascii="Times New Roman" w:hAnsi="Times New Roman" w:cs="Times New Roman"/>
                <w:sz w:val="28"/>
                <w:szCs w:val="28"/>
              </w:rPr>
              <w:t xml:space="preserve"> (п. 112 Методических рекомендаций)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7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5. Сведения о ценных бумагах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73590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сведения об имеющихся ценных бумагах, долях участия в уставных капиталах коммерческих организаций и фондах, в том числе переданных в доверительное управление</w:t>
            </w:r>
          </w:p>
        </w:tc>
        <w:tc>
          <w:tcPr>
            <w:tcW w:w="925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D7504" w:rsidRPr="0066668C" w:rsidTr="00CF100A">
        <w:trPr>
          <w:jc w:val="center"/>
        </w:trPr>
        <w:tc>
          <w:tcPr>
            <w:tcW w:w="617" w:type="dxa"/>
          </w:tcPr>
          <w:p w:rsidR="00BD7504" w:rsidRPr="0066668C" w:rsidRDefault="00BD7504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BD7504" w:rsidRPr="0066668C" w:rsidRDefault="00BD7504" w:rsidP="0073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C">
              <w:rPr>
                <w:rFonts w:ascii="Times New Roman" w:hAnsi="Times New Roman"/>
                <w:sz w:val="28"/>
                <w:szCs w:val="28"/>
              </w:rPr>
              <w:t xml:space="preserve"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эмитента, разная стоимость приобретения (возмездная, безвозмездная) и т.д.) </w:t>
            </w:r>
            <w:r>
              <w:rPr>
                <w:rFonts w:ascii="Times New Roman" w:hAnsi="Times New Roman"/>
                <w:sz w:val="28"/>
                <w:szCs w:val="28"/>
              </w:rPr>
              <w:t>отражены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в разных строках</w:t>
            </w:r>
          </w:p>
        </w:tc>
        <w:tc>
          <w:tcPr>
            <w:tcW w:w="925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6668C" w:rsidRPr="0066668C" w:rsidTr="00B275B9">
        <w:trPr>
          <w:trHeight w:val="507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5.1 Акции и иное участие в коммерческих организациях и фондах</w:t>
            </w:r>
          </w:p>
        </w:tc>
      </w:tr>
      <w:tr w:rsidR="00FC2BB6" w:rsidRPr="0066668C" w:rsidTr="00CF100A">
        <w:trPr>
          <w:jc w:val="center"/>
        </w:trPr>
        <w:tc>
          <w:tcPr>
            <w:tcW w:w="617" w:type="dxa"/>
          </w:tcPr>
          <w:p w:rsidR="00FC2BB6" w:rsidRPr="0066668C" w:rsidRDefault="00FC2BB6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акций или долей участия в коммерческих организациях и фондах разделы заполнены, в том числе:</w:t>
            </w:r>
          </w:p>
          <w:p w:rsidR="00FC2BB6" w:rsidRPr="0066668C" w:rsidRDefault="00FC2BB6" w:rsidP="00FC2BB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полное или сокращенное официальное наименование, организационно-правовая форма (п. 135 Методических рекомендаций);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коммерческой организации;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уставный капитал (п. 136 Методических рекомендаций);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доля участия (п. 137 Методических рекомендаций);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основания участия (п. 138 Методических рекомендаций)</w:t>
            </w:r>
          </w:p>
        </w:tc>
        <w:tc>
          <w:tcPr>
            <w:tcW w:w="925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акции или доли участия, указанные в справках за предыдущие периоды, они исключены из пункта 5.1.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73590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отражен 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долей участия в коммерческих организациях или фондах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5.2 Иные ценные бумаги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в собственности ценных бумаг (п. 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рекомендаций), за исключением акций, разделы заполнены, в том числе: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ценной бумаги;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лицо, выпустившее ценную бумагу;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номинальная величина обязательства (п. 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общее количество;</w:t>
            </w:r>
          </w:p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общая стоимость (п. 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</w:t>
            </w:r>
            <w:r w:rsidR="0017555C" w:rsidRPr="0066668C">
              <w:rPr>
                <w:rFonts w:ascii="Times New Roman" w:hAnsi="Times New Roman" w:cs="Times New Roman"/>
                <w:sz w:val="28"/>
                <w:szCs w:val="28"/>
              </w:rPr>
              <w:t>рекомендаций)</w:t>
            </w:r>
            <w:r w:rsidR="0017555C"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>Ценные бумаги, приобретенные в рамках договора на брокерское обслуживание и (или) договора доверительного управления ценными бумагами (включая договор на ведение индивидуального инвестиционного счета) и собственником которых является служащий, его супруга (супруг) или несовершеннолетние дети, также подлежат отражению в подразделах 5.1 или 5.2 соответственно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Акции, подлежащие отражению в подразделе 5.1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в подразделе 5.2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  <w:bookmarkStart w:id="0" w:name="_GoBack"/>
            <w:bookmarkEnd w:id="0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не отражены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ценных бумаг, указанных в справках за предыдущие периоды, они исключены из пункта 5.2.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отражен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ценных бумаг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в строке «Итого по разделу 5 «Сведения о ценных бумагах» суммарная стоимость ценных бумаг, включая доли участия в коммерческих организациях (только в рублях)», отражена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6. Сведения об обязательствах имущественного характера</w:t>
            </w:r>
          </w:p>
        </w:tc>
      </w:tr>
      <w:tr w:rsidR="0066668C" w:rsidRPr="0066668C" w:rsidTr="00B275B9">
        <w:trPr>
          <w:trHeight w:val="550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6.1 Объекты недвижимого имущества, находящиеся в пользовании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Указано все недвижимое имущество (муниципальное, ведомственное, арендованное и т.п.), находящееся во временном пользовании (не в собственности) служащего, его супруги (супруга), несовершеннолетних детей, включая объекты недвижимости, находящиеся в пользовании лица, зарегистрированного в качестве индивидуального предпринимателя, в отношении которого представляется справка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объекту имущества указаны следующие данные: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объект имущества;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и срок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основание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площадь (кв. м)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735905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Объект недвижимости, находящийся в собственности одного из супругов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совместного проживания в нем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 xml:space="preserve"> или пользования им</w:t>
            </w:r>
            <w:r w:rsidR="00CE28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пользовании у остальных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281E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Отражена информация о пользовании объектом недвижимости, который указан на титульном листе справки в качестве места регистрации или места фактического проживания, но не указан в подразделе 3.1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66668C" w:rsidRPr="0066668C" w:rsidRDefault="00735905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Отражена информация о пользовании объектами недвижимости, полученными в рамках гражданско-правовых сделок (купля-продажа, дарение), право собственности на которые не зарегистрировано на 31 декабря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0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6.2 Срочные обязательства финансового характера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Указаны все имеющиеся на отчетную дату срочные обязательства финансового характера на сумму, равную или превышающую 500 000 руб., кредитором или </w:t>
            </w:r>
            <w:proofErr w:type="gramStart"/>
            <w:r w:rsidRPr="0066668C">
              <w:rPr>
                <w:rFonts w:ascii="Times New Roman" w:hAnsi="Times New Roman"/>
                <w:sz w:val="28"/>
                <w:szCs w:val="28"/>
              </w:rPr>
              <w:t>должником</w:t>
            </w:r>
            <w:proofErr w:type="gramEnd"/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по которому является служащий, его супруга (супруг), несовершеннолетний ребенок</w:t>
            </w:r>
            <w:r w:rsidR="00281E11">
              <w:rPr>
                <w:rFonts w:ascii="Times New Roman" w:hAnsi="Times New Roman"/>
                <w:sz w:val="28"/>
                <w:szCs w:val="28"/>
              </w:rPr>
              <w:t xml:space="preserve"> (в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том числе обязательства, указанные в п</w:t>
            </w:r>
            <w:r w:rsidR="00281E11">
              <w:rPr>
                <w:rFonts w:ascii="Times New Roman" w:hAnsi="Times New Roman"/>
                <w:sz w:val="28"/>
                <w:szCs w:val="28"/>
              </w:rPr>
              <w:t>ункте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00710E" w:rsidRPr="0066668C">
              <w:rPr>
                <w:rFonts w:ascii="Times New Roman" w:hAnsi="Times New Roman"/>
                <w:sz w:val="28"/>
                <w:szCs w:val="28"/>
              </w:rPr>
              <w:t>61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рекомендаций)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указанному обязательству приведены данные о: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содержании обязательства (п. 15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кредиторе (должнике) (п. 15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основании возникновения обязательства (п. 15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рекомендаций);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 сумме обязательства/размере обязательства по состоянию на отчетную дату (п. 15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рекомендаций);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условии обязательства (п. 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рекомендации).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кредитных договоров информация о банковских счетах, открытых при заключении кредитных договоров, отражена в разделе 4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графе «Условия обязательства», касающиеся имущества, заложенного в обеспечение срочного обязательства финансового характера, соотносятся с информацией об имуществе в разделе 3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бязательства финансового характера в виде: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участия в долевом строительстве объекта недвижимости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ипотеке в случае разделения суммы кредита между супругами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договорам страхования жизни;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lastRenderedPageBreak/>
              <w:t>- 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1D" w:rsidRPr="0066668C" w:rsidTr="00CF100A">
        <w:trPr>
          <w:jc w:val="center"/>
        </w:trPr>
        <w:tc>
          <w:tcPr>
            <w:tcW w:w="617" w:type="dxa"/>
          </w:tcPr>
          <w:p w:rsidR="007A671D" w:rsidRPr="0066668C" w:rsidRDefault="007A671D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A671D" w:rsidRPr="0066668C" w:rsidRDefault="007A671D" w:rsidP="00AE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указаны 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срочн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финансового характера на сумму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500 000 руб.</w:t>
            </w:r>
          </w:p>
        </w:tc>
        <w:tc>
          <w:tcPr>
            <w:tcW w:w="925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820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7. Сведения о недвижимом имуществе, транспортных средствах и иных ценных бумагах, отчужденных в течение отчетного периода в результате безвозмездной сделки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Указаны сведения о всех объектах, находившихся в собственности: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 недвижимом имуществе (в т.ч. доли в праве собственности)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транспортных средствах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ценных бумагах (в т.ч. долях участия в уставном капитале общества)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6F3024" w:rsidP="00AE59E9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отчужденных в течение отчетного периода в результате безвозмездной сделки, а также, например, сведения об утилизации автомобиля*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68C">
              <w:rPr>
                <w:rFonts w:ascii="Times New Roman" w:hAnsi="Times New Roman"/>
                <w:sz w:val="24"/>
                <w:szCs w:val="24"/>
              </w:rPr>
              <w:t>* Безвозмездной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(например, </w:t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>договор дарения, соглашение о разделе имущества, соглашение об определении долей, а также брачный договор, который определяет порядок владения ранее совместно нажитого имущества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880"/>
          <w:jc w:val="center"/>
        </w:trPr>
        <w:tc>
          <w:tcPr>
            <w:tcW w:w="15351" w:type="dxa"/>
            <w:gridSpan w:val="5"/>
            <w:vAlign w:val="center"/>
          </w:tcPr>
          <w:p w:rsidR="0000710E" w:rsidRPr="0066668C" w:rsidRDefault="00CF100A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Сведения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00710E" w:rsidRPr="0066668C" w:rsidRDefault="0000710E" w:rsidP="00CF100A">
            <w:pPr>
              <w:pStyle w:val="a6"/>
              <w:numPr>
                <w:ilvl w:val="0"/>
                <w:numId w:val="1"/>
              </w:numPr>
              <w:ind w:left="25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00710E" w:rsidRPr="0066668C" w:rsidRDefault="00CF100A" w:rsidP="008558C0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Составлено и приложено к справке Уведомление о принадлежащих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установленной форме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1AC" w:rsidRPr="008231AC">
              <w:rPr>
                <w:rFonts w:ascii="Times New Roman" w:hAnsi="Times New Roman" w:cs="Times New Roman"/>
                <w:sz w:val="24"/>
                <w:szCs w:val="28"/>
              </w:rPr>
              <w:t>(В соответствии с Указом Президента Российской Федерации от 10.12.2020 № 778 данные Уведомления обязаны представлять кандидаты, претендующие на должности в Банке России, одновременно со сведениями о доходах, об имуществе и обязательствах имущественного характера)</w:t>
            </w:r>
          </w:p>
        </w:tc>
        <w:tc>
          <w:tcPr>
            <w:tcW w:w="925" w:type="dxa"/>
          </w:tcPr>
          <w:p w:rsidR="0000710E" w:rsidRPr="0066668C" w:rsidRDefault="0000710E" w:rsidP="00AE59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00710E" w:rsidRPr="0066668C" w:rsidRDefault="0000710E" w:rsidP="00AE59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00710E" w:rsidRPr="0066668C" w:rsidRDefault="0000710E" w:rsidP="00AE59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6668C" w:rsidRPr="0066668C" w:rsidTr="00B275B9">
        <w:trPr>
          <w:trHeight w:val="551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Дополнительные вопросы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соответствует следующим требованиям: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отсутствуют дефекты печати в виде полос</w:t>
            </w:r>
            <w:r w:rsidR="00FC2BB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пятен;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</w:t>
            </w:r>
            <w:r w:rsidR="00FC2BB6">
              <w:rPr>
                <w:rFonts w:ascii="Times New Roman" w:hAnsi="Times New Roman"/>
                <w:sz w:val="28"/>
                <w:szCs w:val="28"/>
              </w:rPr>
              <w:t>ю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т подпись и пометки на линейных и двумерных штрих-кодах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558C0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 кодах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Листы одной справки не менялись или не вставлялись в другие справки (даже при содержании идентичной информации)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369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в течение одного дня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на одной стороне листа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E9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подписана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B30" w:rsidRPr="0066668C" w:rsidRDefault="00420B3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20B30" w:rsidRPr="0066668C" w:rsidSect="000F353A">
      <w:headerReference w:type="default" r:id="rId8"/>
      <w:pgSz w:w="16838" w:h="11906" w:orient="landscape" w:code="9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76" w:rsidRDefault="00E57A76" w:rsidP="00911B1F">
      <w:pPr>
        <w:spacing w:after="0" w:line="240" w:lineRule="auto"/>
      </w:pPr>
      <w:r>
        <w:separator/>
      </w:r>
    </w:p>
  </w:endnote>
  <w:endnote w:type="continuationSeparator" w:id="0">
    <w:p w:rsidR="00E57A76" w:rsidRDefault="00E57A76" w:rsidP="0091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76" w:rsidRDefault="00E57A76" w:rsidP="00911B1F">
      <w:pPr>
        <w:spacing w:after="0" w:line="240" w:lineRule="auto"/>
      </w:pPr>
      <w:r>
        <w:separator/>
      </w:r>
    </w:p>
  </w:footnote>
  <w:footnote w:type="continuationSeparator" w:id="0">
    <w:p w:rsidR="00E57A76" w:rsidRDefault="00E57A76" w:rsidP="00911B1F">
      <w:pPr>
        <w:spacing w:after="0" w:line="240" w:lineRule="auto"/>
      </w:pPr>
      <w:r>
        <w:continuationSeparator/>
      </w:r>
    </w:p>
  </w:footnote>
  <w:footnote w:id="1">
    <w:p w:rsidR="00B43E86" w:rsidRDefault="00B43E86">
      <w:pPr>
        <w:pStyle w:val="af3"/>
      </w:pPr>
      <w:r>
        <w:rPr>
          <w:rStyle w:val="af5"/>
        </w:rPr>
        <w:footnoteRef/>
      </w:r>
      <w:r>
        <w:t xml:space="preserve"> Граждане, поступающие на службу в Банк России, данный раздел справки не заполняют.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087436"/>
      <w:docPartObj>
        <w:docPartGallery w:val="Page Numbers (Top of Page)"/>
        <w:docPartUnique/>
      </w:docPartObj>
    </w:sdtPr>
    <w:sdtEndPr/>
    <w:sdtContent>
      <w:p w:rsidR="00735905" w:rsidRDefault="00735905" w:rsidP="00FD1E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55C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6816D23"/>
    <w:multiLevelType w:val="hybridMultilevel"/>
    <w:tmpl w:val="5A722B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96"/>
    <w:rsid w:val="0000710E"/>
    <w:rsid w:val="000243D9"/>
    <w:rsid w:val="00024E43"/>
    <w:rsid w:val="00033492"/>
    <w:rsid w:val="000404E4"/>
    <w:rsid w:val="0005147A"/>
    <w:rsid w:val="00051A05"/>
    <w:rsid w:val="00053D05"/>
    <w:rsid w:val="00053FF4"/>
    <w:rsid w:val="00062196"/>
    <w:rsid w:val="0007690E"/>
    <w:rsid w:val="000801DC"/>
    <w:rsid w:val="00080819"/>
    <w:rsid w:val="000927B4"/>
    <w:rsid w:val="00092AF9"/>
    <w:rsid w:val="000A4172"/>
    <w:rsid w:val="000A5412"/>
    <w:rsid w:val="000B2A1A"/>
    <w:rsid w:val="000B3047"/>
    <w:rsid w:val="000D1B10"/>
    <w:rsid w:val="000D30BC"/>
    <w:rsid w:val="000D5BFD"/>
    <w:rsid w:val="000E2D01"/>
    <w:rsid w:val="000E3127"/>
    <w:rsid w:val="000F353A"/>
    <w:rsid w:val="000F40B8"/>
    <w:rsid w:val="00101E90"/>
    <w:rsid w:val="00107753"/>
    <w:rsid w:val="00117C94"/>
    <w:rsid w:val="00123F61"/>
    <w:rsid w:val="0013120B"/>
    <w:rsid w:val="001325A4"/>
    <w:rsid w:val="00140099"/>
    <w:rsid w:val="001429B1"/>
    <w:rsid w:val="00154757"/>
    <w:rsid w:val="001713D3"/>
    <w:rsid w:val="00171B66"/>
    <w:rsid w:val="0017555C"/>
    <w:rsid w:val="001820A3"/>
    <w:rsid w:val="00197D14"/>
    <w:rsid w:val="001B19B3"/>
    <w:rsid w:val="001C1E48"/>
    <w:rsid w:val="001D100E"/>
    <w:rsid w:val="001E6AC7"/>
    <w:rsid w:val="001F0A64"/>
    <w:rsid w:val="00200E63"/>
    <w:rsid w:val="0020514E"/>
    <w:rsid w:val="00214D4B"/>
    <w:rsid w:val="00216268"/>
    <w:rsid w:val="00232A74"/>
    <w:rsid w:val="00235F43"/>
    <w:rsid w:val="002370A7"/>
    <w:rsid w:val="00241DF2"/>
    <w:rsid w:val="00251941"/>
    <w:rsid w:val="002535C0"/>
    <w:rsid w:val="00254A95"/>
    <w:rsid w:val="00265BD3"/>
    <w:rsid w:val="002755E7"/>
    <w:rsid w:val="00277C2A"/>
    <w:rsid w:val="00281E11"/>
    <w:rsid w:val="002A49EC"/>
    <w:rsid w:val="002C2C74"/>
    <w:rsid w:val="002F1887"/>
    <w:rsid w:val="00305F74"/>
    <w:rsid w:val="00314C04"/>
    <w:rsid w:val="00321C6A"/>
    <w:rsid w:val="0034028B"/>
    <w:rsid w:val="003443AE"/>
    <w:rsid w:val="00355144"/>
    <w:rsid w:val="003866B1"/>
    <w:rsid w:val="00393C16"/>
    <w:rsid w:val="00396200"/>
    <w:rsid w:val="003A730B"/>
    <w:rsid w:val="003A748D"/>
    <w:rsid w:val="003A7C7F"/>
    <w:rsid w:val="003F5820"/>
    <w:rsid w:val="00401433"/>
    <w:rsid w:val="004141E1"/>
    <w:rsid w:val="0042079D"/>
    <w:rsid w:val="00420B30"/>
    <w:rsid w:val="00437B61"/>
    <w:rsid w:val="00446562"/>
    <w:rsid w:val="00450152"/>
    <w:rsid w:val="004625D0"/>
    <w:rsid w:val="0046587A"/>
    <w:rsid w:val="00471434"/>
    <w:rsid w:val="00483D78"/>
    <w:rsid w:val="00485D03"/>
    <w:rsid w:val="004A005D"/>
    <w:rsid w:val="004B0D8E"/>
    <w:rsid w:val="004C4CF2"/>
    <w:rsid w:val="004E5B18"/>
    <w:rsid w:val="004F0918"/>
    <w:rsid w:val="004F38D0"/>
    <w:rsid w:val="00504D4C"/>
    <w:rsid w:val="005050BF"/>
    <w:rsid w:val="005131E2"/>
    <w:rsid w:val="005239FB"/>
    <w:rsid w:val="005300ED"/>
    <w:rsid w:val="00536F28"/>
    <w:rsid w:val="0054212F"/>
    <w:rsid w:val="00552F25"/>
    <w:rsid w:val="00554834"/>
    <w:rsid w:val="00560EA7"/>
    <w:rsid w:val="00587563"/>
    <w:rsid w:val="00592D76"/>
    <w:rsid w:val="00594461"/>
    <w:rsid w:val="005A1E3C"/>
    <w:rsid w:val="005A5004"/>
    <w:rsid w:val="005C77DD"/>
    <w:rsid w:val="005D35E6"/>
    <w:rsid w:val="005D5F7E"/>
    <w:rsid w:val="005F72B6"/>
    <w:rsid w:val="0063703B"/>
    <w:rsid w:val="00656018"/>
    <w:rsid w:val="0065668F"/>
    <w:rsid w:val="00664AFF"/>
    <w:rsid w:val="00665B1A"/>
    <w:rsid w:val="0066668C"/>
    <w:rsid w:val="00672DC5"/>
    <w:rsid w:val="00694488"/>
    <w:rsid w:val="006B19F1"/>
    <w:rsid w:val="006C1974"/>
    <w:rsid w:val="006C27A5"/>
    <w:rsid w:val="006C6701"/>
    <w:rsid w:val="006D0E24"/>
    <w:rsid w:val="006E1911"/>
    <w:rsid w:val="006E24B8"/>
    <w:rsid w:val="006F3024"/>
    <w:rsid w:val="006F7442"/>
    <w:rsid w:val="007156B0"/>
    <w:rsid w:val="00724979"/>
    <w:rsid w:val="007336AD"/>
    <w:rsid w:val="00735905"/>
    <w:rsid w:val="00752A17"/>
    <w:rsid w:val="00760353"/>
    <w:rsid w:val="0076452D"/>
    <w:rsid w:val="00781603"/>
    <w:rsid w:val="00796C07"/>
    <w:rsid w:val="007A671D"/>
    <w:rsid w:val="007A6919"/>
    <w:rsid w:val="007A6A5D"/>
    <w:rsid w:val="007B23BB"/>
    <w:rsid w:val="007B5114"/>
    <w:rsid w:val="007C134A"/>
    <w:rsid w:val="007D31C4"/>
    <w:rsid w:val="007D5AD0"/>
    <w:rsid w:val="007E4D66"/>
    <w:rsid w:val="007E63E5"/>
    <w:rsid w:val="007E7BF1"/>
    <w:rsid w:val="007F24AC"/>
    <w:rsid w:val="007F2609"/>
    <w:rsid w:val="007F5614"/>
    <w:rsid w:val="008016E9"/>
    <w:rsid w:val="00822CE5"/>
    <w:rsid w:val="008231AC"/>
    <w:rsid w:val="0083358E"/>
    <w:rsid w:val="008451B5"/>
    <w:rsid w:val="00847564"/>
    <w:rsid w:val="008558C0"/>
    <w:rsid w:val="00863545"/>
    <w:rsid w:val="00863B8E"/>
    <w:rsid w:val="00865F59"/>
    <w:rsid w:val="00870BB5"/>
    <w:rsid w:val="00874A2E"/>
    <w:rsid w:val="00881ACF"/>
    <w:rsid w:val="00885CA9"/>
    <w:rsid w:val="00886AB8"/>
    <w:rsid w:val="008A744B"/>
    <w:rsid w:val="008F032F"/>
    <w:rsid w:val="008F164B"/>
    <w:rsid w:val="008F3146"/>
    <w:rsid w:val="00911B1F"/>
    <w:rsid w:val="0092721A"/>
    <w:rsid w:val="00936C6E"/>
    <w:rsid w:val="00942559"/>
    <w:rsid w:val="0096674D"/>
    <w:rsid w:val="0097218E"/>
    <w:rsid w:val="009A101B"/>
    <w:rsid w:val="009A24D7"/>
    <w:rsid w:val="009A41DD"/>
    <w:rsid w:val="009A4776"/>
    <w:rsid w:val="009A7344"/>
    <w:rsid w:val="009B0E53"/>
    <w:rsid w:val="009C0517"/>
    <w:rsid w:val="009C0C21"/>
    <w:rsid w:val="009D4C31"/>
    <w:rsid w:val="009D6E4B"/>
    <w:rsid w:val="009D7285"/>
    <w:rsid w:val="009E478B"/>
    <w:rsid w:val="009F2DDC"/>
    <w:rsid w:val="009F4DF3"/>
    <w:rsid w:val="00A00A4B"/>
    <w:rsid w:val="00A00DCF"/>
    <w:rsid w:val="00A0251B"/>
    <w:rsid w:val="00A02A2B"/>
    <w:rsid w:val="00A06134"/>
    <w:rsid w:val="00A10900"/>
    <w:rsid w:val="00A163B3"/>
    <w:rsid w:val="00A21C63"/>
    <w:rsid w:val="00A2735F"/>
    <w:rsid w:val="00A33DBD"/>
    <w:rsid w:val="00A4193E"/>
    <w:rsid w:val="00A47B9C"/>
    <w:rsid w:val="00A52693"/>
    <w:rsid w:val="00A65211"/>
    <w:rsid w:val="00A66C9A"/>
    <w:rsid w:val="00A8263D"/>
    <w:rsid w:val="00A86675"/>
    <w:rsid w:val="00A86E2D"/>
    <w:rsid w:val="00A921DC"/>
    <w:rsid w:val="00AA1BAC"/>
    <w:rsid w:val="00AB0DE4"/>
    <w:rsid w:val="00AC388B"/>
    <w:rsid w:val="00AC5EF3"/>
    <w:rsid w:val="00AD4B8B"/>
    <w:rsid w:val="00AE26E5"/>
    <w:rsid w:val="00AE2D67"/>
    <w:rsid w:val="00AE59E9"/>
    <w:rsid w:val="00AE5BE3"/>
    <w:rsid w:val="00AE6A0A"/>
    <w:rsid w:val="00AF160F"/>
    <w:rsid w:val="00B1046C"/>
    <w:rsid w:val="00B23AFE"/>
    <w:rsid w:val="00B26D03"/>
    <w:rsid w:val="00B275B9"/>
    <w:rsid w:val="00B36DE0"/>
    <w:rsid w:val="00B43E86"/>
    <w:rsid w:val="00B50F12"/>
    <w:rsid w:val="00B5306B"/>
    <w:rsid w:val="00B53C03"/>
    <w:rsid w:val="00B67AD7"/>
    <w:rsid w:val="00B73BCB"/>
    <w:rsid w:val="00B83990"/>
    <w:rsid w:val="00B83D37"/>
    <w:rsid w:val="00B93DC4"/>
    <w:rsid w:val="00BA6893"/>
    <w:rsid w:val="00BB1E43"/>
    <w:rsid w:val="00BB5F3A"/>
    <w:rsid w:val="00BC25AC"/>
    <w:rsid w:val="00BC7E48"/>
    <w:rsid w:val="00BD0DA8"/>
    <w:rsid w:val="00BD3B16"/>
    <w:rsid w:val="00BD54F9"/>
    <w:rsid w:val="00BD7504"/>
    <w:rsid w:val="00BE3CA2"/>
    <w:rsid w:val="00BE6AB8"/>
    <w:rsid w:val="00BF1A63"/>
    <w:rsid w:val="00C345D2"/>
    <w:rsid w:val="00C36841"/>
    <w:rsid w:val="00C47C0B"/>
    <w:rsid w:val="00C47C2D"/>
    <w:rsid w:val="00C53735"/>
    <w:rsid w:val="00C54EBC"/>
    <w:rsid w:val="00C93660"/>
    <w:rsid w:val="00CC28DF"/>
    <w:rsid w:val="00CD56AE"/>
    <w:rsid w:val="00CD587A"/>
    <w:rsid w:val="00CD5DA0"/>
    <w:rsid w:val="00CD7101"/>
    <w:rsid w:val="00CE1D6E"/>
    <w:rsid w:val="00CE280C"/>
    <w:rsid w:val="00CE777B"/>
    <w:rsid w:val="00CF100A"/>
    <w:rsid w:val="00D0044A"/>
    <w:rsid w:val="00D165DC"/>
    <w:rsid w:val="00D425AF"/>
    <w:rsid w:val="00D5517A"/>
    <w:rsid w:val="00D552FF"/>
    <w:rsid w:val="00D63FE9"/>
    <w:rsid w:val="00D840BE"/>
    <w:rsid w:val="00DA0ACA"/>
    <w:rsid w:val="00DA52CC"/>
    <w:rsid w:val="00DC2B11"/>
    <w:rsid w:val="00DC3C0A"/>
    <w:rsid w:val="00DC5507"/>
    <w:rsid w:val="00DD6F0E"/>
    <w:rsid w:val="00DE31C2"/>
    <w:rsid w:val="00DE76A2"/>
    <w:rsid w:val="00E07767"/>
    <w:rsid w:val="00E12C2A"/>
    <w:rsid w:val="00E25B24"/>
    <w:rsid w:val="00E55D3C"/>
    <w:rsid w:val="00E57A76"/>
    <w:rsid w:val="00E83A35"/>
    <w:rsid w:val="00E97798"/>
    <w:rsid w:val="00EA798B"/>
    <w:rsid w:val="00EC30EE"/>
    <w:rsid w:val="00ED6340"/>
    <w:rsid w:val="00EE6FA4"/>
    <w:rsid w:val="00EF3C8A"/>
    <w:rsid w:val="00F24481"/>
    <w:rsid w:val="00F35F47"/>
    <w:rsid w:val="00F43B25"/>
    <w:rsid w:val="00F4633E"/>
    <w:rsid w:val="00F5053D"/>
    <w:rsid w:val="00F72CC0"/>
    <w:rsid w:val="00F862B3"/>
    <w:rsid w:val="00FA0DCD"/>
    <w:rsid w:val="00FA52D5"/>
    <w:rsid w:val="00FC2BB6"/>
    <w:rsid w:val="00FC5090"/>
    <w:rsid w:val="00FD198C"/>
    <w:rsid w:val="00FD1E54"/>
    <w:rsid w:val="00FD7AE2"/>
    <w:rsid w:val="00FE2C23"/>
    <w:rsid w:val="00FE4F9C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5E8C-42BB-42BD-B811-06D7DA8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a7">
    <w:name w:val="Основной текст Знак"/>
    <w:link w:val="a8"/>
    <w:rsid w:val="000D1B10"/>
    <w:rPr>
      <w:rFonts w:ascii="Calibri" w:hAnsi="Calibri" w:cs="Calibri"/>
      <w:shd w:val="clear" w:color="auto" w:fill="FFFFFF"/>
    </w:rPr>
  </w:style>
  <w:style w:type="paragraph" w:styleId="a8">
    <w:name w:val="Body Text"/>
    <w:basedOn w:val="a"/>
    <w:link w:val="a7"/>
    <w:rsid w:val="000D1B1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D1B10"/>
  </w:style>
  <w:style w:type="paragraph" w:customStyle="1" w:styleId="Default">
    <w:name w:val="Default"/>
    <w:rsid w:val="001325A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1A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1A0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1A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1A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1A0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63E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B1F"/>
  </w:style>
  <w:style w:type="paragraph" w:styleId="af1">
    <w:name w:val="footer"/>
    <w:basedOn w:val="a"/>
    <w:link w:val="af2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1B1F"/>
  </w:style>
  <w:style w:type="paragraph" w:styleId="af3">
    <w:name w:val="footnote text"/>
    <w:basedOn w:val="a"/>
    <w:link w:val="af4"/>
    <w:uiPriority w:val="99"/>
    <w:semiHidden/>
    <w:unhideWhenUsed/>
    <w:rsid w:val="00B43E8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43E8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4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A700-0566-41B4-8228-F7E9E74B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Кирилл Вадимович</dc:creator>
  <cp:keywords/>
  <dc:description/>
  <cp:lastModifiedBy>Ишмуратов Роберт Анварович</cp:lastModifiedBy>
  <cp:revision>16</cp:revision>
  <cp:lastPrinted>2019-12-25T13:25:00Z</cp:lastPrinted>
  <dcterms:created xsi:type="dcterms:W3CDTF">2021-02-05T07:46:00Z</dcterms:created>
  <dcterms:modified xsi:type="dcterms:W3CDTF">2021-04-27T06:21:00Z</dcterms:modified>
</cp:coreProperties>
</file>